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F8C94D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BC1A00">
        <w:rPr>
          <w:rFonts w:ascii="Arial" w:eastAsia="SimSun" w:hAnsi="Arial" w:cs="Times New Roman"/>
          <w:b/>
          <w:sz w:val="24"/>
          <w:szCs w:val="20"/>
          <w:lang w:val="en-GB"/>
        </w:rPr>
        <w:t>2</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BC1A00">
        <w:rPr>
          <w:rFonts w:ascii="Arial" w:eastAsia="SimSun" w:hAnsi="Arial" w:cs="Times New Roman"/>
          <w:b/>
          <w:bCs/>
          <w:sz w:val="24"/>
          <w:szCs w:val="20"/>
          <w:lang w:val="en-GB" w:eastAsia="ja-JP"/>
        </w:rPr>
        <w:t>0</w:t>
      </w:r>
      <w:r w:rsidR="00DF2246">
        <w:rPr>
          <w:rFonts w:ascii="Arial" w:eastAsia="SimSun" w:hAnsi="Arial" w:cs="Times New Roman"/>
          <w:b/>
          <w:bCs/>
          <w:sz w:val="24"/>
          <w:szCs w:val="20"/>
          <w:lang w:val="en-GB" w:eastAsia="ja-JP"/>
        </w:rPr>
        <w:t>5228</w:t>
      </w:r>
    </w:p>
    <w:p w14:paraId="3DEDC117" w14:textId="62FBC29E"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BC1A00">
        <w:rPr>
          <w:rFonts w:ascii="Arial" w:eastAsia="SimSun" w:hAnsi="Arial" w:cs="Times New Roman"/>
          <w:b/>
          <w:sz w:val="24"/>
          <w:szCs w:val="20"/>
          <w:lang w:val="en-GB"/>
        </w:rPr>
        <w:t>21 February</w:t>
      </w:r>
      <w:r w:rsidR="00BA37CF">
        <w:rPr>
          <w:rFonts w:ascii="Arial" w:eastAsia="SimSun" w:hAnsi="Arial" w:cs="Times New Roman"/>
          <w:b/>
          <w:sz w:val="24"/>
          <w:szCs w:val="20"/>
          <w:lang w:val="en-GB"/>
        </w:rPr>
        <w:t xml:space="preserve"> – </w:t>
      </w:r>
      <w:r w:rsidR="00BC1A00">
        <w:rPr>
          <w:rFonts w:ascii="Arial" w:eastAsia="SimSun" w:hAnsi="Arial" w:cs="Times New Roman"/>
          <w:b/>
          <w:sz w:val="24"/>
          <w:szCs w:val="20"/>
          <w:lang w:val="en-GB"/>
        </w:rPr>
        <w:t>3</w:t>
      </w:r>
      <w:r w:rsidR="00BA37CF">
        <w:rPr>
          <w:rFonts w:ascii="Arial" w:eastAsia="SimSun" w:hAnsi="Arial" w:cs="Times New Roman"/>
          <w:b/>
          <w:sz w:val="24"/>
          <w:szCs w:val="20"/>
          <w:lang w:val="en-GB"/>
        </w:rPr>
        <w:t xml:space="preserve"> </w:t>
      </w:r>
      <w:r w:rsidR="00BC1A00">
        <w:rPr>
          <w:rFonts w:ascii="Arial" w:eastAsia="SimSun" w:hAnsi="Arial" w:cs="Times New Roman"/>
          <w:b/>
          <w:sz w:val="24"/>
          <w:szCs w:val="20"/>
          <w:lang w:val="en-GB"/>
        </w:rPr>
        <w:t>March</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FB7A9E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65AE7">
        <w:rPr>
          <w:rFonts w:ascii="Arial" w:eastAsia="Calibri" w:hAnsi="Arial" w:cs="Arial"/>
          <w:b/>
          <w:bCs/>
          <w:sz w:val="24"/>
          <w:lang w:val="en-GB"/>
        </w:rPr>
        <w:t xml:space="preserve">NTN CHO </w:t>
      </w:r>
      <w:r w:rsidR="003308CC">
        <w:rPr>
          <w:rFonts w:ascii="Arial" w:eastAsia="Calibri" w:hAnsi="Arial" w:cs="Arial"/>
          <w:b/>
          <w:bCs/>
          <w:sz w:val="24"/>
          <w:lang w:val="en-GB"/>
        </w:rPr>
        <w:t>t</w:t>
      </w:r>
      <w:r w:rsidR="00265AE7" w:rsidRPr="00916C88">
        <w:rPr>
          <w:rFonts w:ascii="Arial" w:eastAsia="Calibri" w:hAnsi="Arial" w:cs="Arial"/>
          <w:b/>
          <w:bCs/>
          <w:sz w:val="24"/>
          <w:lang w:val="en-GB"/>
        </w:rPr>
        <w:t>imeline considerations</w:t>
      </w:r>
      <w:r w:rsidR="00E32A76">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17D9D47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77E74" w:rsidRPr="00916C88">
        <w:rPr>
          <w:rFonts w:ascii="Arial" w:eastAsia="MS Mincho" w:hAnsi="Arial" w:cs="Arial"/>
          <w:b/>
          <w:bCs/>
          <w:sz w:val="24"/>
          <w:szCs w:val="20"/>
          <w:lang w:val="en-GB"/>
        </w:rPr>
        <w:t>10</w:t>
      </w:r>
      <w:r w:rsidRPr="00916C88">
        <w:rPr>
          <w:rFonts w:ascii="Arial" w:eastAsia="MS Mincho" w:hAnsi="Arial" w:cs="Arial"/>
          <w:b/>
          <w:bCs/>
          <w:sz w:val="24"/>
          <w:szCs w:val="20"/>
          <w:lang w:val="en-GB"/>
        </w:rPr>
        <w:t>.</w:t>
      </w:r>
      <w:r w:rsidR="00077E74" w:rsidRPr="00916C88">
        <w:rPr>
          <w:rFonts w:ascii="Arial" w:eastAsia="MS Mincho" w:hAnsi="Arial" w:cs="Arial"/>
          <w:b/>
          <w:bCs/>
          <w:sz w:val="24"/>
          <w:szCs w:val="20"/>
          <w:lang w:val="en-GB"/>
        </w:rPr>
        <w:t>13</w:t>
      </w:r>
      <w:r w:rsidRPr="00916C88">
        <w:rPr>
          <w:rFonts w:ascii="Arial" w:eastAsia="MS Mincho" w:hAnsi="Arial" w:cs="Arial"/>
          <w:b/>
          <w:bCs/>
          <w:sz w:val="24"/>
          <w:szCs w:val="20"/>
          <w:lang w:val="en-GB"/>
        </w:rPr>
        <w:t>.</w:t>
      </w:r>
      <w:r w:rsidR="00077E74" w:rsidRPr="00916C88">
        <w:rPr>
          <w:rFonts w:ascii="Arial" w:eastAsia="MS Mincho" w:hAnsi="Arial" w:cs="Arial"/>
          <w:b/>
          <w:bCs/>
          <w:sz w:val="24"/>
          <w:szCs w:val="20"/>
          <w:lang w:val="en-GB"/>
        </w:rPr>
        <w:t>5</w:t>
      </w:r>
      <w:r w:rsidR="00C61950" w:rsidRPr="00916C88">
        <w:rPr>
          <w:rFonts w:ascii="Arial" w:eastAsia="MS Mincho" w:hAnsi="Arial" w:cs="Arial"/>
          <w:b/>
          <w:bCs/>
          <w:sz w:val="24"/>
          <w:szCs w:val="20"/>
          <w:lang w:val="en-GB"/>
        </w:rPr>
        <w:t>.</w:t>
      </w:r>
      <w:r w:rsidR="00BD1712" w:rsidRPr="00916C88">
        <w:rPr>
          <w:rFonts w:ascii="Arial" w:eastAsia="MS Mincho" w:hAnsi="Arial" w:cs="Arial"/>
          <w:b/>
          <w:bCs/>
          <w:sz w:val="24"/>
          <w:szCs w:val="20"/>
          <w:lang w:val="en-GB"/>
        </w:rPr>
        <w:t>3</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5A66C2" w14:textId="1559CE74" w:rsidR="001F3887" w:rsidRPr="00265AE7" w:rsidRDefault="00E12A0E" w:rsidP="001F3887">
      <w:pPr>
        <w:ind w:right="-22"/>
        <w:rPr>
          <w:bCs/>
        </w:rPr>
      </w:pPr>
      <w:r>
        <w:rPr>
          <w:bCs/>
        </w:rPr>
        <w:t>During the</w:t>
      </w:r>
      <w:r w:rsidR="00500A86">
        <w:rPr>
          <w:bCs/>
        </w:rPr>
        <w:t xml:space="preserve"> RAN4#</w:t>
      </w:r>
      <w:r w:rsidR="009F79AB">
        <w:rPr>
          <w:bCs/>
        </w:rPr>
        <w:t>10</w:t>
      </w:r>
      <w:r w:rsidR="00645255">
        <w:rPr>
          <w:bCs/>
        </w:rPr>
        <w:t>1</w:t>
      </w:r>
      <w:r w:rsidR="00092626">
        <w:rPr>
          <w:bCs/>
        </w:rPr>
        <w:t>bis</w:t>
      </w:r>
      <w:r w:rsidR="00500A86">
        <w:rPr>
          <w:bCs/>
        </w:rPr>
        <w:t>-e</w:t>
      </w:r>
      <w:r>
        <w:rPr>
          <w:bCs/>
        </w:rPr>
        <w:t xml:space="preserve"> meeting</w:t>
      </w:r>
      <w:r w:rsidR="00500A86">
        <w:rPr>
          <w:bCs/>
        </w:rPr>
        <w:t>,</w:t>
      </w:r>
      <w:r>
        <w:rPr>
          <w:bCs/>
        </w:rPr>
        <w:t xml:space="preserve"> a way forward on </w:t>
      </w:r>
      <w:r w:rsidR="00077E74">
        <w:rPr>
          <w:bCs/>
        </w:rPr>
        <w:t>NR NTN RRM</w:t>
      </w:r>
      <w:r>
        <w:rPr>
          <w:bCs/>
        </w:rPr>
        <w:t xml:space="preserve"> </w:t>
      </w:r>
      <w:r w:rsidR="004C4FD8">
        <w:rPr>
          <w:bCs/>
        </w:rPr>
        <w:t>requirements</w:t>
      </w:r>
      <w:r w:rsidR="00500A86">
        <w:rPr>
          <w:sz w:val="22"/>
        </w:rPr>
        <w:t xml:space="preserve"> </w:t>
      </w:r>
      <w:r>
        <w:rPr>
          <w:sz w:val="22"/>
        </w:rPr>
        <w:t xml:space="preserve">[1] </w:t>
      </w:r>
      <w:r w:rsidR="00500A86">
        <w:rPr>
          <w:sz w:val="22"/>
        </w:rPr>
        <w:t xml:space="preserve">was </w:t>
      </w:r>
      <w:r>
        <w:rPr>
          <w:sz w:val="22"/>
        </w:rPr>
        <w:t>approved</w:t>
      </w:r>
      <w:r w:rsidR="00077E74">
        <w:rPr>
          <w:bCs/>
        </w:rPr>
        <w:t>.</w:t>
      </w:r>
      <w:r w:rsidR="00265AE7">
        <w:rPr>
          <w:bCs/>
        </w:rPr>
        <w:t xml:space="preserve"> Under the Topic #2 Issue 2-2-1 on “Timeline for NTN CHO” there has been agreed to consider two main options for the </w:t>
      </w:r>
      <w:r w:rsidR="00265AE7" w:rsidRPr="00265AE7">
        <w:rPr>
          <w:rStyle w:val="normaltextrun"/>
          <w:color w:val="000000"/>
          <w:szCs w:val="20"/>
          <w:shd w:val="clear" w:color="auto" w:fill="FFFFFF"/>
          <w:lang w:val="en-GB"/>
        </w:rPr>
        <w:t>D</w:t>
      </w:r>
      <w:r w:rsidR="00265AE7" w:rsidRPr="00265AE7">
        <w:rPr>
          <w:rStyle w:val="normaltextrun"/>
          <w:color w:val="000000"/>
          <w:sz w:val="16"/>
          <w:szCs w:val="16"/>
          <w:shd w:val="clear" w:color="auto" w:fill="FFFFFF"/>
          <w:vertAlign w:val="subscript"/>
          <w:lang w:val="en-GB"/>
        </w:rPr>
        <w:t>CHO</w:t>
      </w:r>
      <w:r w:rsidR="00265AE7" w:rsidRPr="00265AE7">
        <w:rPr>
          <w:bCs/>
        </w:rPr>
        <w:t>, includin</w:t>
      </w:r>
      <w:r w:rsidR="00265AE7">
        <w:rPr>
          <w:bCs/>
        </w:rPr>
        <w:t>g several sub-options for the different delay uncertainty terms.</w:t>
      </w:r>
    </w:p>
    <w:p w14:paraId="6A150D75" w14:textId="77777777" w:rsidR="00265AE7" w:rsidRDefault="00265AE7" w:rsidP="00265AE7">
      <w:pPr>
        <w:pStyle w:val="ListParagraph"/>
        <w:numPr>
          <w:ilvl w:val="0"/>
          <w:numId w:val="13"/>
        </w:numPr>
        <w:overflowPunct w:val="0"/>
        <w:autoSpaceDE w:val="0"/>
        <w:autoSpaceDN w:val="0"/>
        <w:adjustRightInd w:val="0"/>
        <w:spacing w:after="180" w:line="276" w:lineRule="auto"/>
        <w:contextualSpacing w:val="0"/>
        <w:textAlignment w:val="baseline"/>
        <w:rPr>
          <w:bCs/>
        </w:rPr>
      </w:pPr>
      <w:r w:rsidRPr="00950AEB">
        <w:rPr>
          <w:b/>
        </w:rPr>
        <w:t>Option 1:</w:t>
      </w:r>
      <w:r w:rsidRPr="00625D97">
        <w:rPr>
          <w:bCs/>
        </w:rPr>
        <w:t xml:space="preserve"> The timeline for NTN CHO is defined as the time between the end of the last TTI containing the RRC command and the start the transmission of the new uplink PRACH, which can be expressed as follows:</w:t>
      </w:r>
    </w:p>
    <w:p w14:paraId="10F29F3D" w14:textId="5E8D341C" w:rsidR="00265AE7" w:rsidRPr="00265AE7" w:rsidRDefault="00265AE7" w:rsidP="00265AE7">
      <w:pPr>
        <w:pStyle w:val="ListParagraph"/>
        <w:numPr>
          <w:ilvl w:val="1"/>
          <w:numId w:val="13"/>
        </w:numPr>
        <w:overflowPunct w:val="0"/>
        <w:autoSpaceDE w:val="0"/>
        <w:autoSpaceDN w:val="0"/>
        <w:adjustRightInd w:val="0"/>
        <w:spacing w:after="180" w:line="276" w:lineRule="auto"/>
        <w:contextualSpacing w:val="0"/>
        <w:textAlignment w:val="baseline"/>
        <w:rPr>
          <w:bCs/>
        </w:rPr>
      </w:pPr>
      <w:r w:rsidRPr="00265AE7">
        <w:rPr>
          <w:rStyle w:val="normaltextrun"/>
          <w:color w:val="000000"/>
          <w:szCs w:val="20"/>
          <w:shd w:val="clear" w:color="auto" w:fill="FFFFFF"/>
          <w:lang w:val="en-GB"/>
        </w:rPr>
        <w:t>D</w:t>
      </w:r>
      <w:r w:rsidRPr="00265AE7">
        <w:rPr>
          <w:rStyle w:val="normaltextrun"/>
          <w:color w:val="000000"/>
          <w:sz w:val="16"/>
          <w:szCs w:val="16"/>
          <w:shd w:val="clear" w:color="auto" w:fill="FFFFFF"/>
          <w:vertAlign w:val="subscript"/>
          <w:lang w:val="en-GB"/>
        </w:rPr>
        <w:t>CHO</w:t>
      </w:r>
      <w:r w:rsidRPr="00265AE7">
        <w:rPr>
          <w:rStyle w:val="normaltextrun"/>
          <w:color w:val="000000"/>
          <w:szCs w:val="20"/>
          <w:shd w:val="clear" w:color="auto" w:fill="FFFFFF"/>
          <w:lang w:val="en-GB"/>
        </w:rPr>
        <w:t xml:space="preserve"> = T</w:t>
      </w:r>
      <w:r w:rsidRPr="00265AE7">
        <w:rPr>
          <w:rStyle w:val="normaltextrun"/>
          <w:color w:val="000000"/>
          <w:sz w:val="16"/>
          <w:szCs w:val="16"/>
          <w:shd w:val="clear" w:color="auto" w:fill="FFFFFF"/>
          <w:vertAlign w:val="subscript"/>
          <w:lang w:val="en-GB"/>
        </w:rPr>
        <w:t>RRC</w:t>
      </w:r>
      <w:r w:rsidRPr="00265AE7">
        <w:rPr>
          <w:rStyle w:val="normaltextrun"/>
          <w:color w:val="000000"/>
          <w:szCs w:val="20"/>
          <w:shd w:val="clear" w:color="auto" w:fill="FFFFFF"/>
          <w:lang w:val="en-GB"/>
        </w:rPr>
        <w:t xml:space="preserve"> + T</w:t>
      </w:r>
      <w:r w:rsidRPr="00265AE7">
        <w:rPr>
          <w:rStyle w:val="normaltextrun"/>
          <w:color w:val="000000"/>
          <w:sz w:val="16"/>
          <w:szCs w:val="16"/>
          <w:shd w:val="clear" w:color="auto" w:fill="FFFFFF"/>
          <w:vertAlign w:val="subscript"/>
          <w:lang w:val="en-GB"/>
        </w:rPr>
        <w:t>Event_DU</w:t>
      </w:r>
      <w:r w:rsidRPr="00265AE7">
        <w:rPr>
          <w:rStyle w:val="normaltextrun"/>
          <w:color w:val="000000"/>
          <w:szCs w:val="20"/>
          <w:shd w:val="clear" w:color="auto" w:fill="FFFFFF"/>
          <w:lang w:val="en-GB"/>
        </w:rPr>
        <w:t xml:space="preserve"> + [T</w:t>
      </w:r>
      <w:r w:rsidRPr="00265AE7">
        <w:rPr>
          <w:rStyle w:val="normaltextrun"/>
          <w:color w:val="000000"/>
          <w:sz w:val="16"/>
          <w:szCs w:val="16"/>
          <w:shd w:val="clear" w:color="auto" w:fill="FFFFFF"/>
          <w:vertAlign w:val="subscript"/>
          <w:lang w:val="en-GB"/>
        </w:rPr>
        <w:t>measure</w:t>
      </w:r>
      <w:r w:rsidRPr="00265AE7">
        <w:rPr>
          <w:rStyle w:val="normaltextrun"/>
          <w:color w:val="000000"/>
          <w:szCs w:val="20"/>
          <w:shd w:val="clear" w:color="auto" w:fill="FFFFFF"/>
          <w:lang w:val="en-GB"/>
        </w:rPr>
        <w:t>] + T</w:t>
      </w:r>
      <w:r w:rsidRPr="00265AE7">
        <w:rPr>
          <w:rStyle w:val="normaltextrun"/>
          <w:color w:val="000000"/>
          <w:sz w:val="16"/>
          <w:szCs w:val="16"/>
          <w:shd w:val="clear" w:color="auto" w:fill="FFFFFF"/>
          <w:vertAlign w:val="subscript"/>
          <w:lang w:val="en-GB"/>
        </w:rPr>
        <w:t>interrupt</w:t>
      </w:r>
      <w:r w:rsidRPr="00265AE7">
        <w:rPr>
          <w:rStyle w:val="normaltextrun"/>
          <w:color w:val="000000"/>
          <w:szCs w:val="20"/>
          <w:shd w:val="clear" w:color="auto" w:fill="FFFFFF"/>
          <w:lang w:val="en-GB"/>
        </w:rPr>
        <w:t xml:space="preserve"> + T</w:t>
      </w:r>
      <w:r w:rsidRPr="00265AE7">
        <w:rPr>
          <w:rStyle w:val="normaltextrun"/>
          <w:color w:val="000000"/>
          <w:sz w:val="16"/>
          <w:szCs w:val="16"/>
          <w:shd w:val="clear" w:color="auto" w:fill="FFFFFF"/>
          <w:vertAlign w:val="subscript"/>
          <w:lang w:val="en-GB"/>
        </w:rPr>
        <w:t>CHO_execution</w:t>
      </w:r>
      <w:r w:rsidRPr="00265AE7">
        <w:rPr>
          <w:rStyle w:val="normaltextrun"/>
          <w:color w:val="000000"/>
          <w:szCs w:val="20"/>
          <w:shd w:val="clear" w:color="auto" w:fill="FFFFFF"/>
          <w:lang w:val="en-GB"/>
        </w:rPr>
        <w:t>,</w:t>
      </w:r>
    </w:p>
    <w:p w14:paraId="19D471A3" w14:textId="77777777" w:rsidR="00265AE7" w:rsidRPr="00265AE7" w:rsidRDefault="00265AE7" w:rsidP="00265AE7">
      <w:pPr>
        <w:pStyle w:val="ListParagraph"/>
        <w:numPr>
          <w:ilvl w:val="0"/>
          <w:numId w:val="13"/>
        </w:numPr>
        <w:ind w:right="-22"/>
        <w:rPr>
          <w:rStyle w:val="normaltextrun"/>
          <w:bCs/>
        </w:rPr>
      </w:pPr>
      <w:r w:rsidRPr="00265AE7">
        <w:rPr>
          <w:rStyle w:val="normaltextrun"/>
          <w:b/>
          <w:bCs/>
          <w:color w:val="000000"/>
          <w:szCs w:val="20"/>
          <w:shd w:val="clear" w:color="auto" w:fill="FFFFFF"/>
          <w:lang w:val="en-GB"/>
        </w:rPr>
        <w:t>Option 2:</w:t>
      </w:r>
      <w:r>
        <w:rPr>
          <w:rStyle w:val="normaltextrun"/>
          <w:color w:val="000000"/>
          <w:szCs w:val="20"/>
          <w:shd w:val="clear" w:color="auto" w:fill="FFFFFF"/>
          <w:lang w:val="en-GB"/>
        </w:rPr>
        <w:t xml:space="preserve"> </w:t>
      </w:r>
    </w:p>
    <w:p w14:paraId="18845EF1" w14:textId="782152D9" w:rsidR="009546C4" w:rsidRPr="009546C4" w:rsidRDefault="00265AE7" w:rsidP="001F3887">
      <w:pPr>
        <w:pStyle w:val="ListParagraph"/>
        <w:numPr>
          <w:ilvl w:val="1"/>
          <w:numId w:val="13"/>
        </w:numPr>
        <w:ind w:right="-22"/>
        <w:rPr>
          <w:bCs/>
        </w:rPr>
      </w:pPr>
      <w:r>
        <w:rPr>
          <w:rStyle w:val="normaltextrun"/>
          <w:color w:val="000000"/>
          <w:szCs w:val="20"/>
          <w:shd w:val="clear" w:color="auto" w:fill="FFFFFF"/>
        </w:rPr>
        <w:t>D</w:t>
      </w:r>
      <w:r>
        <w:rPr>
          <w:rStyle w:val="normaltextrun"/>
          <w:color w:val="000000"/>
          <w:sz w:val="16"/>
          <w:szCs w:val="16"/>
          <w:shd w:val="clear" w:color="auto" w:fill="FFFFFF"/>
          <w:vertAlign w:val="subscript"/>
        </w:rPr>
        <w:t>CHO</w:t>
      </w:r>
      <w:r>
        <w:rPr>
          <w:rStyle w:val="normaltextrun"/>
          <w:color w:val="000000"/>
          <w:szCs w:val="20"/>
          <w:shd w:val="clear" w:color="auto" w:fill="FFFFFF"/>
        </w:rPr>
        <w:t xml:space="preserve"> = T</w:t>
      </w:r>
      <w:r>
        <w:rPr>
          <w:rStyle w:val="normaltextrun"/>
          <w:color w:val="000000"/>
          <w:sz w:val="16"/>
          <w:szCs w:val="16"/>
          <w:shd w:val="clear" w:color="auto" w:fill="FFFFFF"/>
          <w:vertAlign w:val="subscript"/>
        </w:rPr>
        <w:t>RRC</w:t>
      </w:r>
      <w:r>
        <w:rPr>
          <w:rStyle w:val="normaltextrun"/>
          <w:color w:val="000000"/>
          <w:szCs w:val="20"/>
          <w:shd w:val="clear" w:color="auto" w:fill="FFFFFF"/>
        </w:rPr>
        <w:t xml:space="preserve"> + </w:t>
      </w:r>
      <w:r>
        <w:rPr>
          <w:rStyle w:val="normaltextrun"/>
          <w:color w:val="000000"/>
          <w:szCs w:val="20"/>
          <w:shd w:val="clear" w:color="auto" w:fill="FFFFFF"/>
          <w:lang w:val="en-GB"/>
        </w:rPr>
        <w:t>T</w:t>
      </w:r>
      <w:r>
        <w:rPr>
          <w:rStyle w:val="normaltextrun"/>
          <w:color w:val="000000"/>
          <w:sz w:val="16"/>
          <w:szCs w:val="16"/>
          <w:shd w:val="clear" w:color="auto" w:fill="FFFFFF"/>
          <w:vertAlign w:val="subscript"/>
          <w:lang w:val="en-GB"/>
        </w:rPr>
        <w:t>time</w:t>
      </w:r>
      <w:r>
        <w:rPr>
          <w:rStyle w:val="normaltextrun"/>
          <w:color w:val="000000"/>
          <w:szCs w:val="20"/>
          <w:shd w:val="clear" w:color="auto" w:fill="FFFFFF"/>
          <w:lang w:val="en-GB"/>
        </w:rPr>
        <w:t xml:space="preserve"> + T</w:t>
      </w:r>
      <w:r>
        <w:rPr>
          <w:rStyle w:val="normaltextrun"/>
          <w:color w:val="000000"/>
          <w:sz w:val="16"/>
          <w:szCs w:val="16"/>
          <w:shd w:val="clear" w:color="auto" w:fill="FFFFFF"/>
          <w:vertAlign w:val="subscript"/>
          <w:lang w:val="en-GB"/>
        </w:rPr>
        <w:t>Event_DU</w:t>
      </w:r>
      <w:r>
        <w:rPr>
          <w:rStyle w:val="normaltextrun"/>
          <w:color w:val="000000"/>
          <w:szCs w:val="20"/>
          <w:shd w:val="clear" w:color="auto" w:fill="FFFFFF"/>
          <w:lang w:val="en-GB"/>
        </w:rPr>
        <w:t xml:space="preserve"> + </w:t>
      </w:r>
      <w:r>
        <w:rPr>
          <w:rStyle w:val="normaltextrun"/>
          <w:color w:val="000000"/>
          <w:szCs w:val="20"/>
          <w:shd w:val="clear" w:color="auto" w:fill="FFFFFF"/>
        </w:rPr>
        <w:t>T</w:t>
      </w:r>
      <w:r>
        <w:rPr>
          <w:rStyle w:val="normaltextrun"/>
          <w:color w:val="000000"/>
          <w:sz w:val="16"/>
          <w:szCs w:val="16"/>
          <w:shd w:val="clear" w:color="auto" w:fill="FFFFFF"/>
          <w:vertAlign w:val="subscript"/>
        </w:rPr>
        <w:t>measure</w:t>
      </w:r>
      <w:r>
        <w:rPr>
          <w:rStyle w:val="normaltextrun"/>
          <w:color w:val="000000"/>
          <w:szCs w:val="20"/>
          <w:shd w:val="clear" w:color="auto" w:fill="FFFFFF"/>
        </w:rPr>
        <w:t xml:space="preserve"> + </w:t>
      </w:r>
      <w:r>
        <w:rPr>
          <w:rStyle w:val="normaltextrun"/>
          <w:color w:val="000000"/>
          <w:szCs w:val="20"/>
          <w:shd w:val="clear" w:color="auto" w:fill="FFFFFF"/>
          <w:lang w:val="en-GB"/>
        </w:rPr>
        <w:t>T</w:t>
      </w:r>
      <w:r>
        <w:rPr>
          <w:rStyle w:val="normaltextrun"/>
          <w:color w:val="000000"/>
          <w:sz w:val="16"/>
          <w:szCs w:val="16"/>
          <w:shd w:val="clear" w:color="auto" w:fill="FFFFFF"/>
          <w:vertAlign w:val="subscript"/>
          <w:lang w:val="en-GB"/>
        </w:rPr>
        <w:t>interrupt</w:t>
      </w:r>
      <w:r>
        <w:rPr>
          <w:rStyle w:val="normaltextrun"/>
          <w:color w:val="000000"/>
          <w:szCs w:val="20"/>
          <w:shd w:val="clear" w:color="auto" w:fill="FFFFFF"/>
          <w:lang w:val="en-GB"/>
        </w:rPr>
        <w:t xml:space="preserve"> </w:t>
      </w:r>
      <w:r>
        <w:rPr>
          <w:rStyle w:val="normaltextrun"/>
          <w:color w:val="000000"/>
          <w:szCs w:val="20"/>
          <w:shd w:val="clear" w:color="auto" w:fill="FFFFFF"/>
        </w:rPr>
        <w:t xml:space="preserve">+ </w:t>
      </w:r>
      <w:r>
        <w:rPr>
          <w:rStyle w:val="normaltextrun"/>
          <w:color w:val="000000"/>
          <w:szCs w:val="20"/>
          <w:shd w:val="clear" w:color="auto" w:fill="FFFFFF"/>
          <w:lang w:val="en-GB"/>
        </w:rPr>
        <w:t>T</w:t>
      </w:r>
      <w:r>
        <w:rPr>
          <w:rStyle w:val="normaltextrun"/>
          <w:color w:val="000000"/>
          <w:sz w:val="16"/>
          <w:szCs w:val="16"/>
          <w:shd w:val="clear" w:color="auto" w:fill="FFFFFF"/>
          <w:vertAlign w:val="subscript"/>
          <w:lang w:val="en-GB"/>
        </w:rPr>
        <w:t>CHO_execution</w:t>
      </w:r>
      <w:r>
        <w:rPr>
          <w:rStyle w:val="normaltextrun"/>
          <w:color w:val="000000"/>
          <w:szCs w:val="20"/>
          <w:shd w:val="clear" w:color="auto" w:fill="FFFFFF"/>
          <w:lang w:val="en-GB"/>
        </w:rPr>
        <w:t>+ T</w:t>
      </w:r>
      <w:r>
        <w:rPr>
          <w:rStyle w:val="normaltextrun"/>
          <w:color w:val="000000"/>
          <w:sz w:val="16"/>
          <w:szCs w:val="16"/>
          <w:shd w:val="clear" w:color="auto" w:fill="FFFFFF"/>
          <w:vertAlign w:val="subscript"/>
          <w:lang w:val="en-GB"/>
        </w:rPr>
        <w:t>diff</w:t>
      </w:r>
      <w:r>
        <w:rPr>
          <w:rStyle w:val="normaltextrun"/>
          <w:color w:val="000000"/>
          <w:szCs w:val="20"/>
          <w:shd w:val="clear" w:color="auto" w:fill="FFFFFF"/>
          <w:lang w:val="en-GB"/>
        </w:rPr>
        <w:t>,</w:t>
      </w:r>
    </w:p>
    <w:p w14:paraId="532908BE" w14:textId="77777777" w:rsidR="009546C4" w:rsidRDefault="009546C4" w:rsidP="001F3887">
      <w:pPr>
        <w:rPr>
          <w:rFonts w:eastAsia="Times New Roman" w:cs="Times New Roman"/>
          <w:szCs w:val="20"/>
          <w:lang w:val="en-GB"/>
        </w:rPr>
      </w:pPr>
    </w:p>
    <w:p w14:paraId="67B3A12A" w14:textId="1F9D94CC" w:rsidR="001F3887" w:rsidRPr="009546C4" w:rsidRDefault="001F3887" w:rsidP="001F3887">
      <w:pPr>
        <w:rPr>
          <w:rFonts w:eastAsia="Times New Roman" w:cs="Times New Roman"/>
          <w:szCs w:val="20"/>
          <w:lang w:val="en-GB"/>
        </w:rPr>
      </w:pPr>
      <w:r w:rsidRPr="009546C4">
        <w:rPr>
          <w:rFonts w:eastAsia="Times New Roman" w:cs="Times New Roman"/>
          <w:szCs w:val="20"/>
          <w:lang w:val="en-GB"/>
        </w:rPr>
        <w:t xml:space="preserve">From </w:t>
      </w:r>
      <w:r w:rsidR="009546C4">
        <w:rPr>
          <w:rFonts w:eastAsia="Times New Roman" w:cs="Times New Roman"/>
          <w:szCs w:val="20"/>
          <w:lang w:val="en-GB"/>
        </w:rPr>
        <w:t xml:space="preserve">the </w:t>
      </w:r>
      <w:r w:rsidR="009546C4" w:rsidRPr="009546C4">
        <w:rPr>
          <w:rFonts w:eastAsia="Times New Roman" w:cs="Times New Roman"/>
          <w:szCs w:val="20"/>
          <w:lang w:val="en-GB"/>
        </w:rPr>
        <w:t xml:space="preserve">current </w:t>
      </w:r>
      <w:r w:rsidRPr="009546C4">
        <w:rPr>
          <w:rFonts w:eastAsia="Times New Roman" w:cs="Times New Roman"/>
          <w:szCs w:val="20"/>
          <w:lang w:val="en-GB"/>
        </w:rPr>
        <w:t xml:space="preserve">TS 38.133 </w:t>
      </w:r>
      <w:r w:rsidR="00265AE7" w:rsidRPr="009546C4">
        <w:rPr>
          <w:rFonts w:eastAsia="Times New Roman" w:cs="Times New Roman"/>
          <w:szCs w:val="20"/>
          <w:lang w:val="en-GB"/>
        </w:rPr>
        <w:t>clause</w:t>
      </w:r>
      <w:r w:rsidRPr="009546C4">
        <w:rPr>
          <w:rFonts w:eastAsia="Times New Roman" w:cs="Times New Roman"/>
          <w:szCs w:val="20"/>
          <w:lang w:val="en-GB"/>
        </w:rPr>
        <w:t xml:space="preserve"> 6.1.4.2 </w:t>
      </w:r>
      <w:r w:rsidR="00265AE7" w:rsidRPr="009546C4">
        <w:rPr>
          <w:rFonts w:eastAsia="Times New Roman" w:cs="Times New Roman"/>
          <w:szCs w:val="20"/>
          <w:lang w:val="en-GB"/>
        </w:rPr>
        <w:t>(</w:t>
      </w:r>
      <w:r w:rsidRPr="009546C4">
        <w:rPr>
          <w:rFonts w:eastAsia="Times New Roman" w:cs="Times New Roman"/>
          <w:szCs w:val="20"/>
          <w:lang w:val="en-GB"/>
        </w:rPr>
        <w:t>NR FR1 – NR FR1 conditional handover</w:t>
      </w:r>
      <w:r w:rsidR="00265AE7" w:rsidRPr="009546C4">
        <w:rPr>
          <w:rFonts w:eastAsia="Times New Roman" w:cs="Times New Roman"/>
          <w:szCs w:val="20"/>
          <w:lang w:val="en-GB"/>
        </w:rPr>
        <w:t>)</w:t>
      </w:r>
      <w:r w:rsidR="009546C4">
        <w:rPr>
          <w:rFonts w:eastAsia="Times New Roman" w:cs="Times New Roman"/>
          <w:szCs w:val="20"/>
          <w:lang w:val="en-GB"/>
        </w:rPr>
        <w:t xml:space="preserve"> </w:t>
      </w:r>
      <w:r w:rsidR="007902D6">
        <w:rPr>
          <w:rFonts w:eastAsia="Times New Roman" w:cs="Times New Roman"/>
          <w:szCs w:val="20"/>
          <w:lang w:val="en-GB"/>
        </w:rPr>
        <w:t xml:space="preserve">[2] </w:t>
      </w:r>
      <w:r w:rsidR="009546C4">
        <w:rPr>
          <w:rFonts w:eastAsia="Times New Roman" w:cs="Times New Roman"/>
          <w:szCs w:val="20"/>
          <w:lang w:val="en-GB"/>
        </w:rPr>
        <w:t>we re-cap the following definitions</w:t>
      </w:r>
      <w:r w:rsidR="00265AE7" w:rsidRPr="009546C4">
        <w:rPr>
          <w:rFonts w:eastAsia="Times New Roman" w:cs="Times New Roman"/>
          <w:szCs w:val="20"/>
          <w:lang w:val="en-GB"/>
        </w:rPr>
        <w:t>:</w:t>
      </w:r>
    </w:p>
    <w:p w14:paraId="713ABAF9" w14:textId="115B96C8" w:rsidR="001F3887" w:rsidRPr="009546C4" w:rsidRDefault="001F3887" w:rsidP="001F3887">
      <w:pPr>
        <w:pStyle w:val="B1"/>
        <w:numPr>
          <w:ilvl w:val="0"/>
          <w:numId w:val="14"/>
        </w:numPr>
        <w:rPr>
          <w:rFonts w:eastAsia="SimSun"/>
        </w:rPr>
      </w:pPr>
      <w:r w:rsidRPr="009546C4">
        <w:rPr>
          <w:bCs/>
          <w:lang w:val="en-US" w:eastAsia="zh-CN"/>
        </w:rPr>
        <w:t>T</w:t>
      </w:r>
      <w:r w:rsidRPr="009546C4">
        <w:rPr>
          <w:bCs/>
          <w:vertAlign w:val="subscript"/>
          <w:lang w:val="en-US" w:eastAsia="zh-CN"/>
        </w:rPr>
        <w:t>RRC</w:t>
      </w:r>
      <w:r w:rsidRPr="009546C4">
        <w:t xml:space="preserve"> is the RRC procedure delay defined in clause </w:t>
      </w:r>
      <w:r w:rsidRPr="009546C4">
        <w:rPr>
          <w:lang w:eastAsia="zh-CN"/>
        </w:rPr>
        <w:t>12</w:t>
      </w:r>
      <w:r w:rsidRPr="009546C4">
        <w:t xml:space="preserve"> in TS 38.331</w:t>
      </w:r>
      <w:r w:rsidR="007902D6">
        <w:t xml:space="preserve"> [3]</w:t>
      </w:r>
      <w:r w:rsidRPr="009546C4">
        <w:t>.</w:t>
      </w:r>
    </w:p>
    <w:p w14:paraId="7523D6D1" w14:textId="35397D0B" w:rsidR="001F3887" w:rsidRPr="009546C4" w:rsidRDefault="001F3887" w:rsidP="001F3887">
      <w:pPr>
        <w:pStyle w:val="B1"/>
        <w:numPr>
          <w:ilvl w:val="0"/>
          <w:numId w:val="14"/>
        </w:numPr>
      </w:pPr>
      <w:r w:rsidRPr="009546C4">
        <w:rPr>
          <w:iCs/>
        </w:rPr>
        <w:t>T</w:t>
      </w:r>
      <w:r w:rsidRPr="009546C4">
        <w:rPr>
          <w:iCs/>
          <w:vertAlign w:val="subscript"/>
        </w:rPr>
        <w:t>Event_DU</w:t>
      </w:r>
      <w:r w:rsidRPr="009546C4">
        <w:t xml:space="preserve"> is the delay uncertainty which is the time from when the UE successfully decodes a conditional handover command until a condition exists at the measurement reference point which will trigger the conditional handover </w:t>
      </w:r>
      <w:r w:rsidR="00FF680B">
        <w:t>(</w:t>
      </w:r>
      <w:r w:rsidRPr="009546C4">
        <w:t>TS 38.133 clause 6.1.4.2.1</w:t>
      </w:r>
      <w:r w:rsidR="00FF680B">
        <w:t>)</w:t>
      </w:r>
      <w:r w:rsidRPr="009546C4">
        <w:t>.</w:t>
      </w:r>
    </w:p>
    <w:p w14:paraId="7AF51392" w14:textId="77777777" w:rsidR="001F3887" w:rsidRPr="009546C4" w:rsidRDefault="001F3887" w:rsidP="001F3887">
      <w:pPr>
        <w:pStyle w:val="B1"/>
        <w:numPr>
          <w:ilvl w:val="0"/>
          <w:numId w:val="14"/>
        </w:numPr>
      </w:pPr>
      <w:r w:rsidRPr="009546C4">
        <w:rPr>
          <w:bCs/>
          <w:lang w:val="en-US" w:eastAsia="zh-CN"/>
        </w:rPr>
        <w:t>T</w:t>
      </w:r>
      <w:r w:rsidRPr="009546C4">
        <w:rPr>
          <w:bCs/>
          <w:vertAlign w:val="subscript"/>
          <w:lang w:val="en-US" w:eastAsia="zh-CN"/>
        </w:rPr>
        <w:t>measure</w:t>
      </w:r>
      <w:r w:rsidRPr="009546C4">
        <w:t xml:space="preserve"> is the measurements time stated in TS 38.133 clause 6.1.4.2.2.</w:t>
      </w:r>
    </w:p>
    <w:p w14:paraId="26FCCDCA" w14:textId="77777777" w:rsidR="001F3887" w:rsidRPr="009546C4" w:rsidRDefault="001F3887" w:rsidP="001F3887">
      <w:pPr>
        <w:pStyle w:val="B1"/>
        <w:numPr>
          <w:ilvl w:val="0"/>
          <w:numId w:val="14"/>
        </w:numPr>
      </w:pPr>
      <w:r w:rsidRPr="009546C4">
        <w:t>T</w:t>
      </w:r>
      <w:r w:rsidRPr="009546C4">
        <w:rPr>
          <w:vertAlign w:val="subscript"/>
        </w:rPr>
        <w:t>CHO_execution</w:t>
      </w:r>
      <w:r w:rsidRPr="009546C4">
        <w:t xml:space="preserve"> is the conditional execution preparation time in TS 38.133 clause 6.1.4.2.3. </w:t>
      </w:r>
    </w:p>
    <w:p w14:paraId="4B6F7AB3" w14:textId="77777777" w:rsidR="001F3887" w:rsidRPr="009546C4" w:rsidRDefault="001F3887" w:rsidP="001F3887">
      <w:pPr>
        <w:pStyle w:val="B1"/>
        <w:numPr>
          <w:ilvl w:val="0"/>
          <w:numId w:val="14"/>
        </w:numPr>
      </w:pPr>
      <w:r w:rsidRPr="009546C4">
        <w:rPr>
          <w:bCs/>
          <w:lang w:eastAsia="zh-CN"/>
        </w:rPr>
        <w:t>T</w:t>
      </w:r>
      <w:r w:rsidRPr="009546C4">
        <w:rPr>
          <w:bCs/>
          <w:vertAlign w:val="subscript"/>
          <w:lang w:eastAsia="zh-CN"/>
        </w:rPr>
        <w:t>interrupt</w:t>
      </w:r>
      <w:r w:rsidRPr="009546C4">
        <w:t xml:space="preserve"> is the interruption time stated in TS 38.133 clause 6.1.4.2.4.</w:t>
      </w:r>
    </w:p>
    <w:p w14:paraId="30D12E69" w14:textId="3C5A1F43" w:rsidR="00400491" w:rsidRPr="009546C4" w:rsidRDefault="00400491" w:rsidP="00841BCD">
      <w:pPr>
        <w:ind w:right="-22"/>
        <w:rPr>
          <w:bCs/>
        </w:rPr>
      </w:pPr>
    </w:p>
    <w:p w14:paraId="658B79C0" w14:textId="0E2C5774" w:rsidR="001F3887" w:rsidRPr="009546C4" w:rsidRDefault="001F3887" w:rsidP="001F3887">
      <w:pPr>
        <w:spacing w:after="180"/>
        <w:rPr>
          <w:rFonts w:eastAsia="Times New Roman" w:cs="Times New Roman"/>
          <w:szCs w:val="20"/>
          <w:lang w:val="en-GB"/>
        </w:rPr>
      </w:pPr>
      <w:r w:rsidRPr="009546C4">
        <w:rPr>
          <w:rFonts w:eastAsia="Times New Roman" w:cs="Times New Roman"/>
          <w:szCs w:val="20"/>
          <w:lang w:val="en-GB"/>
        </w:rPr>
        <w:t xml:space="preserve">From </w:t>
      </w:r>
      <w:r w:rsidR="009546C4">
        <w:rPr>
          <w:rFonts w:eastAsia="Times New Roman" w:cs="Times New Roman"/>
          <w:szCs w:val="20"/>
          <w:lang w:val="en-GB"/>
        </w:rPr>
        <w:t xml:space="preserve">the </w:t>
      </w:r>
      <w:r w:rsidR="001D55B7">
        <w:rPr>
          <w:rFonts w:eastAsia="Times New Roman" w:cs="Times New Roman"/>
          <w:szCs w:val="20"/>
          <w:lang w:val="en-GB"/>
        </w:rPr>
        <w:t xml:space="preserve">NTN </w:t>
      </w:r>
      <w:r w:rsidRPr="009546C4">
        <w:rPr>
          <w:rFonts w:eastAsia="Times New Roman" w:cs="Times New Roman"/>
          <w:szCs w:val="20"/>
          <w:lang w:val="en-GB"/>
        </w:rPr>
        <w:t>RAN2</w:t>
      </w:r>
      <w:r w:rsidR="001D55B7">
        <w:rPr>
          <w:rFonts w:eastAsia="Times New Roman" w:cs="Times New Roman"/>
          <w:szCs w:val="20"/>
          <w:lang w:val="en-GB"/>
        </w:rPr>
        <w:t xml:space="preserve"> #114 </w:t>
      </w:r>
      <w:r w:rsidRPr="009546C4">
        <w:rPr>
          <w:rFonts w:eastAsia="Times New Roman" w:cs="Times New Roman"/>
          <w:szCs w:val="20"/>
          <w:lang w:val="en-GB"/>
        </w:rPr>
        <w:t>agreements</w:t>
      </w:r>
      <w:r w:rsidR="009546C4">
        <w:rPr>
          <w:rFonts w:eastAsia="Times New Roman" w:cs="Times New Roman"/>
          <w:szCs w:val="20"/>
          <w:lang w:val="en-GB"/>
        </w:rPr>
        <w:t>, we recap the following</w:t>
      </w:r>
      <w:r w:rsidRPr="009546C4">
        <w:rPr>
          <w:rFonts w:eastAsia="Times New Roman" w:cs="Times New Roman"/>
          <w:szCs w:val="20"/>
          <w:lang w:val="en-GB"/>
        </w:rPr>
        <w:t>:</w:t>
      </w:r>
    </w:p>
    <w:p w14:paraId="04224106" w14:textId="5F614765" w:rsidR="00EA06F1" w:rsidRDefault="00EA06F1" w:rsidP="001F3887">
      <w:pPr>
        <w:pStyle w:val="ListParagraph"/>
        <w:numPr>
          <w:ilvl w:val="0"/>
          <w:numId w:val="14"/>
        </w:numPr>
        <w:spacing w:after="180"/>
        <w:contextualSpacing w:val="0"/>
        <w:rPr>
          <w:rFonts w:eastAsia="Times New Roman" w:cs="Times New Roman"/>
          <w:szCs w:val="20"/>
          <w:lang w:val="en-GB"/>
        </w:rPr>
      </w:pPr>
      <w:r w:rsidRPr="00EA06F1">
        <w:rPr>
          <w:rFonts w:eastAsia="Times New Roman" w:cs="Times New Roman"/>
          <w:szCs w:val="20"/>
          <w:lang w:val="en-GB"/>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31FCE773" w14:textId="5F520427" w:rsidR="006F7CD8" w:rsidRDefault="006F7CD8" w:rsidP="001F3887">
      <w:pPr>
        <w:pStyle w:val="ListParagraph"/>
        <w:numPr>
          <w:ilvl w:val="0"/>
          <w:numId w:val="14"/>
        </w:numPr>
        <w:spacing w:after="180"/>
        <w:contextualSpacing w:val="0"/>
        <w:rPr>
          <w:rFonts w:eastAsia="Times New Roman" w:cs="Times New Roman"/>
          <w:szCs w:val="20"/>
          <w:lang w:val="en-GB"/>
        </w:rPr>
      </w:pPr>
      <w:r w:rsidRPr="006F7CD8">
        <w:rPr>
          <w:rFonts w:eastAsia="Times New Roman" w:cs="Times New Roman"/>
          <w:szCs w:val="20"/>
          <w:lang w:val="en-GB"/>
        </w:rPr>
        <w:t>RAN2 adopts Option 1: UTC time + duration/timer, e.g. 00:00:01 + 40s for representing T1 and T2 for CHO time event</w:t>
      </w:r>
    </w:p>
    <w:p w14:paraId="302920BF" w14:textId="10331A3B" w:rsidR="009546C4" w:rsidRDefault="009546C4" w:rsidP="00841BCD">
      <w:pPr>
        <w:ind w:right="-22"/>
        <w:rPr>
          <w:bCs/>
        </w:rPr>
      </w:pPr>
      <w:r>
        <w:rPr>
          <w:bCs/>
        </w:rPr>
        <w:t>In this contribution we discuss the preferred option for the definition of the NTN CHO timeline (</w:t>
      </w:r>
      <w:r w:rsidRPr="00265AE7">
        <w:rPr>
          <w:rStyle w:val="normaltextrun"/>
          <w:color w:val="000000"/>
          <w:szCs w:val="20"/>
          <w:shd w:val="clear" w:color="auto" w:fill="FFFFFF"/>
          <w:lang w:val="en-GB"/>
        </w:rPr>
        <w:t>D</w:t>
      </w:r>
      <w:r w:rsidRPr="00265AE7">
        <w:rPr>
          <w:rStyle w:val="normaltextrun"/>
          <w:color w:val="000000"/>
          <w:sz w:val="16"/>
          <w:szCs w:val="16"/>
          <w:shd w:val="clear" w:color="auto" w:fill="FFFFFF"/>
          <w:vertAlign w:val="subscript"/>
          <w:lang w:val="en-GB"/>
        </w:rPr>
        <w:t>CHO</w:t>
      </w:r>
      <w:r>
        <w:rPr>
          <w:bCs/>
        </w:rPr>
        <w:t xml:space="preserve">) and the corresponding delay uncertainties involved. </w:t>
      </w:r>
    </w:p>
    <w:p w14:paraId="2943CE94" w14:textId="77777777" w:rsidR="009546C4" w:rsidRDefault="009546C4" w:rsidP="00841BCD">
      <w:pPr>
        <w:ind w:right="-22"/>
        <w:rPr>
          <w:bCs/>
        </w:rPr>
      </w:pPr>
    </w:p>
    <w:p w14:paraId="5CA24BAE" w14:textId="3E41AB9A" w:rsidR="00E323C0" w:rsidRPr="009D1737" w:rsidRDefault="003B659E" w:rsidP="009D1737">
      <w:pPr>
        <w:pStyle w:val="RAN4H1"/>
      </w:pPr>
      <w:r w:rsidRPr="00AE56B1">
        <w:lastRenderedPageBreak/>
        <w:t>Discussion</w:t>
      </w:r>
    </w:p>
    <w:p w14:paraId="268910AF" w14:textId="01AE7633" w:rsidR="00BD732C" w:rsidRPr="00FF415A" w:rsidRDefault="00FF415A" w:rsidP="00BD732C">
      <w:pPr>
        <w:rPr>
          <w:bCs/>
        </w:rPr>
      </w:pPr>
      <w:r>
        <w:rPr>
          <w:bCs/>
        </w:rPr>
        <w:t xml:space="preserve">As a starting point, we support the use of Issue 2-2-1 </w:t>
      </w:r>
      <w:r w:rsidR="00BD732C" w:rsidRPr="00FF415A">
        <w:rPr>
          <w:bCs/>
        </w:rPr>
        <w:t>Option 1 [</w:t>
      </w:r>
      <w:r w:rsidRPr="00FF415A">
        <w:rPr>
          <w:bCs/>
        </w:rPr>
        <w:t>1]</w:t>
      </w:r>
      <w:r>
        <w:rPr>
          <w:bCs/>
        </w:rPr>
        <w:t>, which</w:t>
      </w:r>
      <w:r w:rsidR="00807B8A" w:rsidRPr="00FF415A">
        <w:rPr>
          <w:bCs/>
        </w:rPr>
        <w:t xml:space="preserve"> is the most aligned </w:t>
      </w:r>
      <w:r>
        <w:rPr>
          <w:bCs/>
        </w:rPr>
        <w:t xml:space="preserve">form </w:t>
      </w:r>
      <w:r w:rsidR="00807B8A" w:rsidRPr="00FF415A">
        <w:rPr>
          <w:bCs/>
        </w:rPr>
        <w:t xml:space="preserve">with current specifications in TS38.133 </w:t>
      </w:r>
      <w:r w:rsidR="00807B8A" w:rsidRPr="00FF415A">
        <w:t>clause 6.1.4.2</w:t>
      </w:r>
      <w:r w:rsidR="001A2FB7">
        <w:t xml:space="preserve"> [2]</w:t>
      </w:r>
      <w:r w:rsidR="00BD732C" w:rsidRPr="00FF415A">
        <w:rPr>
          <w:bCs/>
        </w:rPr>
        <w:t>:</w:t>
      </w:r>
    </w:p>
    <w:p w14:paraId="7351D087" w14:textId="56AC0DA2" w:rsidR="00BD732C" w:rsidRPr="00625D97" w:rsidRDefault="00BD732C" w:rsidP="00FF415A">
      <w:pPr>
        <w:pStyle w:val="ListParagraph"/>
        <w:overflowPunct w:val="0"/>
        <w:autoSpaceDE w:val="0"/>
        <w:autoSpaceDN w:val="0"/>
        <w:adjustRightInd w:val="0"/>
        <w:spacing w:after="240" w:line="276" w:lineRule="auto"/>
        <w:ind w:left="1656"/>
        <w:contextualSpacing w:val="0"/>
        <w:textAlignment w:val="baseline"/>
        <w:rPr>
          <w:bCs/>
        </w:rPr>
      </w:pPr>
      <w:r w:rsidRPr="00625D97">
        <w:rPr>
          <w:bCs/>
        </w:rPr>
        <w:t>D</w:t>
      </w:r>
      <w:r w:rsidRPr="00625D97">
        <w:rPr>
          <w:bCs/>
          <w:vertAlign w:val="subscript"/>
        </w:rPr>
        <w:t>CHO</w:t>
      </w:r>
      <w:r w:rsidRPr="00625D97">
        <w:rPr>
          <w:bCs/>
        </w:rPr>
        <w:t xml:space="preserve"> = T</w:t>
      </w:r>
      <w:r w:rsidRPr="00625D97">
        <w:rPr>
          <w:bCs/>
          <w:vertAlign w:val="subscript"/>
        </w:rPr>
        <w:t>RRC</w:t>
      </w:r>
      <w:r w:rsidRPr="00625D97">
        <w:rPr>
          <w:bCs/>
        </w:rPr>
        <w:t xml:space="preserve"> + T</w:t>
      </w:r>
      <w:r w:rsidRPr="00625D97">
        <w:rPr>
          <w:bCs/>
          <w:vertAlign w:val="subscript"/>
        </w:rPr>
        <w:t>Event_DU</w:t>
      </w:r>
      <w:r w:rsidRPr="00625D97">
        <w:rPr>
          <w:bCs/>
        </w:rPr>
        <w:t xml:space="preserve"> + [T</w:t>
      </w:r>
      <w:r w:rsidRPr="00625D97">
        <w:rPr>
          <w:bCs/>
          <w:vertAlign w:val="subscript"/>
        </w:rPr>
        <w:t>measure</w:t>
      </w:r>
      <w:r w:rsidRPr="00625D97">
        <w:rPr>
          <w:bCs/>
        </w:rPr>
        <w:t>] + T</w:t>
      </w:r>
      <w:r w:rsidRPr="00625D97">
        <w:rPr>
          <w:bCs/>
          <w:vertAlign w:val="subscript"/>
        </w:rPr>
        <w:t>interrupt</w:t>
      </w:r>
      <w:r w:rsidRPr="00625D97">
        <w:rPr>
          <w:bCs/>
        </w:rPr>
        <w:t xml:space="preserve"> + T</w:t>
      </w:r>
      <w:r w:rsidRPr="00625D97">
        <w:rPr>
          <w:bCs/>
          <w:vertAlign w:val="subscript"/>
        </w:rPr>
        <w:t>CHO_execution</w:t>
      </w:r>
    </w:p>
    <w:p w14:paraId="50A35F3A" w14:textId="5A8A88AE" w:rsidR="00BD732C" w:rsidRDefault="001A2FB7" w:rsidP="006C2B3B">
      <w:r>
        <w:t>Nevertheless, a</w:t>
      </w:r>
      <w:r w:rsidR="00FF415A">
        <w:t>s also pointed out in the Options 1-2-*, t</w:t>
      </w:r>
      <w:r w:rsidR="00FF415A" w:rsidRPr="00FF415A">
        <w:t>h</w:t>
      </w:r>
      <w:r w:rsidR="00FF415A">
        <w:t>i</w:t>
      </w:r>
      <w:r w:rsidR="00FF415A" w:rsidRPr="00FF415A">
        <w:t>s</w:t>
      </w:r>
      <w:r w:rsidR="00FF415A">
        <w:t xml:space="preserve"> definition requires some amendments to make it suitable for NTN CHO.</w:t>
      </w:r>
    </w:p>
    <w:p w14:paraId="54E0CBF8" w14:textId="65568631" w:rsidR="00564A6C" w:rsidRDefault="00FF415A" w:rsidP="006C2B3B">
      <w:r>
        <w:t xml:space="preserve">First, we </w:t>
      </w:r>
      <w:r w:rsidR="00564A6C">
        <w:t xml:space="preserve">believe the </w:t>
      </w:r>
      <w:r w:rsidR="00564A6C" w:rsidRPr="00625D97">
        <w:rPr>
          <w:bCs/>
        </w:rPr>
        <w:t>T</w:t>
      </w:r>
      <w:r w:rsidR="00564A6C" w:rsidRPr="00625D97">
        <w:rPr>
          <w:bCs/>
          <w:vertAlign w:val="subscript"/>
        </w:rPr>
        <w:t>measure</w:t>
      </w:r>
      <w:r w:rsidR="00564A6C">
        <w:t xml:space="preserve"> </w:t>
      </w:r>
      <w:r w:rsidR="004B46CB">
        <w:t>must</w:t>
      </w:r>
      <w:r w:rsidR="00564A6C">
        <w:t xml:space="preserve"> be explicit part of the </w:t>
      </w:r>
      <w:r w:rsidR="00564A6C" w:rsidRPr="00625D97">
        <w:rPr>
          <w:bCs/>
        </w:rPr>
        <w:t>D</w:t>
      </w:r>
      <w:r w:rsidR="00564A6C" w:rsidRPr="00625D97">
        <w:rPr>
          <w:bCs/>
          <w:vertAlign w:val="subscript"/>
        </w:rPr>
        <w:t>CHO</w:t>
      </w:r>
      <w:r w:rsidR="00564A6C">
        <w:t xml:space="preserve"> expression, and therefore </w:t>
      </w:r>
      <w:r>
        <w:t xml:space="preserve">the square brackets around </w:t>
      </w:r>
      <w:r w:rsidRPr="00625D97">
        <w:rPr>
          <w:bCs/>
        </w:rPr>
        <w:t>T</w:t>
      </w:r>
      <w:r w:rsidRPr="00625D97">
        <w:rPr>
          <w:bCs/>
          <w:vertAlign w:val="subscript"/>
        </w:rPr>
        <w:t>measure</w:t>
      </w:r>
      <w:r>
        <w:rPr>
          <w:bCs/>
          <w:vertAlign w:val="subscript"/>
        </w:rPr>
        <w:t xml:space="preserve"> </w:t>
      </w:r>
      <w:r w:rsidRPr="00FF415A">
        <w:t xml:space="preserve">as it appears in </w:t>
      </w:r>
      <w:r w:rsidR="004B46CB" w:rsidRPr="00FF415A">
        <w:rPr>
          <w:bCs/>
        </w:rPr>
        <w:t>Option 1</w:t>
      </w:r>
      <w:r w:rsidR="004B46CB" w:rsidRPr="00FF415A">
        <w:t xml:space="preserve"> </w:t>
      </w:r>
      <w:r w:rsidRPr="00FF415A">
        <w:t>[1]</w:t>
      </w:r>
      <w:r w:rsidR="00564A6C">
        <w:t xml:space="preserve"> are not needed</w:t>
      </w:r>
      <w:r>
        <w:t>.</w:t>
      </w:r>
    </w:p>
    <w:p w14:paraId="5F363718" w14:textId="66A2E8FA" w:rsidR="00FF415A" w:rsidRPr="00FF415A" w:rsidRDefault="00AC0825" w:rsidP="006C2B3B">
      <w:r>
        <w:t>W</w:t>
      </w:r>
      <w:r w:rsidR="00564A6C">
        <w:t xml:space="preserve">e propose to </w:t>
      </w:r>
      <w:r w:rsidR="00FC1C46">
        <w:t>adopt</w:t>
      </w:r>
      <w:r>
        <w:t xml:space="preserve"> Option 1-1-2</w:t>
      </w:r>
      <w:r w:rsidR="00B04035">
        <w:t>,</w:t>
      </w:r>
      <w:r>
        <w:t xml:space="preserve"> </w:t>
      </w:r>
      <w:r w:rsidR="00564A6C" w:rsidRPr="00564A6C">
        <w:t>such that the location</w:t>
      </w:r>
      <w:r w:rsidR="00A83847">
        <w:t>-</w:t>
      </w:r>
      <w:r w:rsidR="00564A6C">
        <w:t xml:space="preserve"> or </w:t>
      </w:r>
      <w:r w:rsidR="00564A6C" w:rsidRPr="00564A6C">
        <w:t>time</w:t>
      </w:r>
      <w:r w:rsidR="00A83847">
        <w:t>-</w:t>
      </w:r>
      <w:r w:rsidR="00564A6C" w:rsidRPr="00564A6C">
        <w:t xml:space="preserve"> based conditions are explicitly captured as combined with the measurements, according to the </w:t>
      </w:r>
      <w:r w:rsidR="00564A6C">
        <w:t xml:space="preserve">current </w:t>
      </w:r>
      <w:r w:rsidR="00564A6C" w:rsidRPr="00564A6C">
        <w:t>RAN2 agreement</w:t>
      </w:r>
      <w:r w:rsidR="00564A6C">
        <w:t>s</w:t>
      </w:r>
      <w:r w:rsidR="00564A6C" w:rsidRPr="00564A6C">
        <w:t>.</w:t>
      </w:r>
    </w:p>
    <w:p w14:paraId="67EFA256" w14:textId="77777777" w:rsidR="00A04B55" w:rsidRPr="00E13D68" w:rsidRDefault="00A04B55" w:rsidP="00A04B55">
      <w:pPr>
        <w:rPr>
          <w:i/>
          <w:iCs/>
        </w:rPr>
      </w:pPr>
      <w:r w:rsidRPr="00E13D68">
        <w:rPr>
          <w:i/>
          <w:iCs/>
        </w:rPr>
        <w:t>Observation 1: The delays needed to determine/evaluate the NTN specific time or location conditions (if configured) should be explicitly part of the T</w:t>
      </w:r>
      <w:r w:rsidRPr="00E13D68">
        <w:rPr>
          <w:i/>
          <w:iCs/>
          <w:vertAlign w:val="subscript"/>
        </w:rPr>
        <w:t>Event_DU</w:t>
      </w:r>
      <w:r w:rsidRPr="00E13D68">
        <w:rPr>
          <w:i/>
          <w:iCs/>
        </w:rPr>
        <w:t xml:space="preserve"> delay uncertainty.</w:t>
      </w:r>
    </w:p>
    <w:p w14:paraId="623009AA" w14:textId="3B48E099" w:rsidR="00A04B55" w:rsidRDefault="00A04B55" w:rsidP="006C2B3B">
      <w:r w:rsidRPr="00AC7C88">
        <w:rPr>
          <w:b/>
          <w:bCs/>
        </w:rPr>
        <w:t>Proposal 1: T</w:t>
      </w:r>
      <w:r w:rsidRPr="00AC7C88">
        <w:rPr>
          <w:b/>
          <w:bCs/>
          <w:vertAlign w:val="subscript"/>
        </w:rPr>
        <w:t>Event_DU</w:t>
      </w:r>
      <w:r w:rsidRPr="00AC7C88">
        <w:rPr>
          <w:b/>
          <w:bCs/>
        </w:rPr>
        <w:t xml:space="preserve"> is the delay uncertainty which is the time from when the UE successfully decodes a conditional handover command until the later of the time when a measurement condition exists at the measurement reference point and the time when a time or location condition (if configured) exists.</w:t>
      </w:r>
    </w:p>
    <w:p w14:paraId="5B63E53C" w14:textId="77777777" w:rsidR="0074537D" w:rsidRDefault="0041438C" w:rsidP="006C2B3B">
      <w:r>
        <w:t xml:space="preserve">Regarding the use of [t1] time in </w:t>
      </w:r>
      <w:r w:rsidR="006D4525">
        <w:rPr>
          <w:bCs/>
        </w:rPr>
        <w:t xml:space="preserve">Issue 2-2-1 </w:t>
      </w:r>
      <w:r>
        <w:t>Option 1-1-1 and Option 2</w:t>
      </w:r>
      <w:r w:rsidR="00E75959">
        <w:t xml:space="preserve"> </w:t>
      </w:r>
      <w:r w:rsidR="00912797">
        <w:t xml:space="preserve">[1] </w:t>
      </w:r>
      <w:r>
        <w:t>and considering the RAN2 agreements on [t1] and [t2] (see Section 1), we can note that the network is controlling these values</w:t>
      </w:r>
      <w:r w:rsidR="00CC7AC9">
        <w:t xml:space="preserve"> and they define a time window for the UE to perform the CHO without enforcing when </w:t>
      </w:r>
      <w:r w:rsidR="00CC7AC9" w:rsidRPr="00656492">
        <w:t>the monitoring and</w:t>
      </w:r>
      <w:r w:rsidR="002852F5" w:rsidRPr="00656492">
        <w:t>/or</w:t>
      </w:r>
      <w:r w:rsidR="00CC7AC9" w:rsidRPr="00656492">
        <w:t xml:space="preserve"> measurements should be performed by the UE</w:t>
      </w:r>
      <w:r w:rsidRPr="00656492">
        <w:t xml:space="preserve">. </w:t>
      </w:r>
      <w:r w:rsidR="000238B8" w:rsidRPr="00656492">
        <w:t>Furthermore,</w:t>
      </w:r>
      <w:r w:rsidRPr="00656492">
        <w:t xml:space="preserve"> it</w:t>
      </w:r>
      <w:r>
        <w:t xml:space="preserve"> is reasonable to assume that only valid configuration will be provided to the UE</w:t>
      </w:r>
      <w:r w:rsidR="00756DFE">
        <w:t xml:space="preserve"> and the </w:t>
      </w:r>
      <w:r w:rsidR="00E75959">
        <w:t xml:space="preserve">[t1] and [t2] </w:t>
      </w:r>
      <w:r w:rsidR="00756DFE">
        <w:t>values will be set by the network assuming the</w:t>
      </w:r>
      <w:r w:rsidR="0023371F">
        <w:t xml:space="preserve"> delay uncertainties specified in</w:t>
      </w:r>
      <w:r w:rsidR="00245556">
        <w:t xml:space="preserve"> the</w:t>
      </w:r>
      <w:r w:rsidR="00756DFE">
        <w:t xml:space="preserve"> </w:t>
      </w:r>
      <w:r w:rsidR="00756DFE" w:rsidRPr="00625D97">
        <w:rPr>
          <w:bCs/>
        </w:rPr>
        <w:t>D</w:t>
      </w:r>
      <w:r w:rsidR="00756DFE" w:rsidRPr="00625D97">
        <w:rPr>
          <w:bCs/>
          <w:vertAlign w:val="subscript"/>
        </w:rPr>
        <w:t>CHO</w:t>
      </w:r>
      <w:r w:rsidR="00756DFE">
        <w:t xml:space="preserve"> expression.</w:t>
      </w:r>
      <w:r w:rsidR="003E4435">
        <w:t xml:space="preserve"> </w:t>
      </w:r>
    </w:p>
    <w:p w14:paraId="5BE08703" w14:textId="77777777" w:rsidR="0074537D" w:rsidRPr="006F7CD8" w:rsidRDefault="0074537D" w:rsidP="0074537D">
      <w:pPr>
        <w:spacing w:after="180"/>
        <w:rPr>
          <w:rFonts w:eastAsia="Times New Roman" w:cs="Times New Roman"/>
          <w:szCs w:val="20"/>
          <w:lang w:val="en-GB"/>
        </w:rPr>
      </w:pPr>
      <w:r w:rsidRPr="006F7CD8">
        <w:rPr>
          <w:rFonts w:eastAsia="Times New Roman" w:cs="Times New Roman"/>
          <w:szCs w:val="20"/>
          <w:lang w:val="en-GB"/>
        </w:rPr>
        <w:t>The</w:t>
      </w:r>
      <w:r>
        <w:rPr>
          <w:rFonts w:eastAsia="Times New Roman" w:cs="Times New Roman"/>
          <w:szCs w:val="20"/>
          <w:lang w:val="en-GB"/>
        </w:rPr>
        <w:t xml:space="preserve"> contribution [4] indicates the following interpretation for [t1] and [t2]:</w:t>
      </w:r>
    </w:p>
    <w:p w14:paraId="4FA87680" w14:textId="77777777" w:rsidR="0074537D" w:rsidRPr="00FE1FB0" w:rsidRDefault="0074537D" w:rsidP="003B7E3E">
      <w:pPr>
        <w:pStyle w:val="ListParagraph"/>
        <w:numPr>
          <w:ilvl w:val="0"/>
          <w:numId w:val="14"/>
        </w:numPr>
        <w:spacing w:after="180"/>
        <w:contextualSpacing w:val="0"/>
        <w:rPr>
          <w:rFonts w:eastAsia="Times New Roman" w:cs="Times New Roman"/>
          <w:szCs w:val="20"/>
          <w:lang w:val="en-GB"/>
        </w:rPr>
      </w:pPr>
      <w:r w:rsidRPr="00FE1FB0">
        <w:rPr>
          <w:rFonts w:eastAsia="Times New Roman" w:cs="Times New Roman"/>
          <w:szCs w:val="20"/>
          <w:lang w:val="en-GB"/>
        </w:rPr>
        <w:t>[t1] represents the earliest point in time when the UE can perform CHO to the candidate target cell.</w:t>
      </w:r>
      <w:bookmarkStart w:id="3" w:name="_Hlk76978366"/>
      <w:r w:rsidRPr="00FE1FB0">
        <w:rPr>
          <w:rFonts w:eastAsia="Times New Roman" w:cs="Times New Roman"/>
          <w:szCs w:val="20"/>
          <w:lang w:val="en-GB"/>
        </w:rPr>
        <w:t xml:space="preserve"> </w:t>
      </w:r>
    </w:p>
    <w:p w14:paraId="10103DC4" w14:textId="23BDAB83" w:rsidR="0074537D" w:rsidRPr="0082186E" w:rsidRDefault="0074537D" w:rsidP="003B7E3E">
      <w:pPr>
        <w:pStyle w:val="ListParagraph"/>
        <w:numPr>
          <w:ilvl w:val="0"/>
          <w:numId w:val="14"/>
        </w:numPr>
        <w:spacing w:after="180"/>
        <w:contextualSpacing w:val="0"/>
        <w:rPr>
          <w:rFonts w:eastAsia="Times New Roman" w:cs="Times New Roman"/>
          <w:szCs w:val="20"/>
          <w:lang w:val="en-GB"/>
        </w:rPr>
      </w:pPr>
      <w:r w:rsidRPr="00FE1FB0">
        <w:rPr>
          <w:rFonts w:eastAsia="Times New Roman" w:cs="Times New Roman"/>
          <w:szCs w:val="20"/>
          <w:lang w:val="en-GB"/>
        </w:rPr>
        <w:t>[t2] represents the end of the time window, i.e. the latest point in time when the UE shall perform CHO to the candidate target cell</w:t>
      </w:r>
      <w:bookmarkStart w:id="4" w:name="_Toc79084852"/>
      <w:bookmarkEnd w:id="3"/>
      <w:r w:rsidRPr="00FE1FB0">
        <w:rPr>
          <w:rFonts w:eastAsia="Times New Roman" w:cs="Times New Roman"/>
          <w:szCs w:val="20"/>
          <w:lang w:val="en-GB"/>
        </w:rPr>
        <w:t>.</w:t>
      </w:r>
      <w:bookmarkEnd w:id="4"/>
    </w:p>
    <w:p w14:paraId="6B5C18EE" w14:textId="556BBFAC" w:rsidR="003E4435" w:rsidRPr="00A04B55" w:rsidRDefault="00631D64" w:rsidP="006C2B3B">
      <w:r>
        <w:rPr>
          <w:lang w:val="en-GB"/>
        </w:rPr>
        <w:t xml:space="preserve">We support both these </w:t>
      </w:r>
      <w:r w:rsidR="00E25D9B">
        <w:rPr>
          <w:lang w:val="en-GB"/>
        </w:rPr>
        <w:t>interpretations</w:t>
      </w:r>
      <w:r w:rsidR="0076421C">
        <w:rPr>
          <w:lang w:val="en-GB"/>
        </w:rPr>
        <w:t>, which</w:t>
      </w:r>
      <w:r w:rsidR="007B45F8">
        <w:rPr>
          <w:lang w:val="en-GB"/>
        </w:rPr>
        <w:t xml:space="preserve"> are aligned with the </w:t>
      </w:r>
      <w:r w:rsidR="007B45F8">
        <w:rPr>
          <w:rFonts w:eastAsia="Times New Roman" w:cs="Times New Roman"/>
          <w:szCs w:val="20"/>
          <w:lang w:val="en-GB"/>
        </w:rPr>
        <w:t xml:space="preserve">NTN </w:t>
      </w:r>
      <w:r w:rsidR="007B45F8" w:rsidRPr="009546C4">
        <w:rPr>
          <w:rFonts w:eastAsia="Times New Roman" w:cs="Times New Roman"/>
          <w:szCs w:val="20"/>
          <w:lang w:val="en-GB"/>
        </w:rPr>
        <w:t>RAN2</w:t>
      </w:r>
      <w:r w:rsidR="007B45F8">
        <w:rPr>
          <w:rFonts w:eastAsia="Times New Roman" w:cs="Times New Roman"/>
          <w:szCs w:val="20"/>
          <w:lang w:val="en-GB"/>
        </w:rPr>
        <w:t xml:space="preserve"> #114 </w:t>
      </w:r>
      <w:r w:rsidR="007B45F8" w:rsidRPr="009546C4">
        <w:rPr>
          <w:rFonts w:eastAsia="Times New Roman" w:cs="Times New Roman"/>
          <w:szCs w:val="20"/>
          <w:lang w:val="en-GB"/>
        </w:rPr>
        <w:t>agreements</w:t>
      </w:r>
      <w:r w:rsidR="00E25D9B">
        <w:rPr>
          <w:lang w:val="en-GB"/>
        </w:rPr>
        <w:t xml:space="preserve">. </w:t>
      </w:r>
      <w:r w:rsidR="003E4435">
        <w:rPr>
          <w:lang w:val="en-GB"/>
        </w:rPr>
        <w:t>It follows from the</w:t>
      </w:r>
      <w:r w:rsidR="0082186E">
        <w:rPr>
          <w:lang w:val="en-GB"/>
        </w:rPr>
        <w:t>se</w:t>
      </w:r>
      <w:r w:rsidR="003E4435">
        <w:rPr>
          <w:lang w:val="en-GB"/>
        </w:rPr>
        <w:t xml:space="preserve"> that the new delay uncertainty </w:t>
      </w:r>
      <w:r w:rsidR="003E4435" w:rsidRPr="00625D97">
        <w:rPr>
          <w:bCs/>
        </w:rPr>
        <w:t>T</w:t>
      </w:r>
      <w:r w:rsidR="003E4435" w:rsidRPr="00625D97">
        <w:rPr>
          <w:bCs/>
          <w:vertAlign w:val="subscript"/>
        </w:rPr>
        <w:t>time</w:t>
      </w:r>
      <w:r w:rsidR="003E4435">
        <w:rPr>
          <w:lang w:val="en-GB"/>
        </w:rPr>
        <w:t xml:space="preserve"> </w:t>
      </w:r>
      <w:r w:rsidR="00DE6A1E">
        <w:rPr>
          <w:lang w:val="en-GB"/>
        </w:rPr>
        <w:t xml:space="preserve">as </w:t>
      </w:r>
      <w:r w:rsidR="003E4435">
        <w:rPr>
          <w:lang w:val="en-GB"/>
        </w:rPr>
        <w:t xml:space="preserve">introduced </w:t>
      </w:r>
      <w:r w:rsidR="003E4435">
        <w:t xml:space="preserve">in </w:t>
      </w:r>
      <w:r w:rsidR="003E4435" w:rsidRPr="00723A5B">
        <w:rPr>
          <w:lang w:val="en-GB"/>
        </w:rPr>
        <w:t>Option 2</w:t>
      </w:r>
      <w:r w:rsidR="003E4435">
        <w:rPr>
          <w:lang w:val="en-GB"/>
        </w:rPr>
        <w:t xml:space="preserve"> </w:t>
      </w:r>
      <w:r w:rsidR="0008549D">
        <w:rPr>
          <w:lang w:val="en-GB"/>
        </w:rPr>
        <w:t xml:space="preserve">to accommodate [t1], </w:t>
      </w:r>
      <w:r w:rsidR="003E4435">
        <w:rPr>
          <w:lang w:val="en-GB"/>
        </w:rPr>
        <w:t xml:space="preserve">is </w:t>
      </w:r>
      <w:r w:rsidR="00E254A9">
        <w:rPr>
          <w:lang w:val="en-GB"/>
        </w:rPr>
        <w:t xml:space="preserve">in practice </w:t>
      </w:r>
      <w:r w:rsidR="003E4435">
        <w:rPr>
          <w:lang w:val="en-GB"/>
        </w:rPr>
        <w:t>not needed.</w:t>
      </w:r>
      <w:r w:rsidR="006C707B">
        <w:rPr>
          <w:lang w:val="en-GB"/>
        </w:rPr>
        <w:t xml:space="preserve"> Due to this reason it is expected that the value range of </w:t>
      </w:r>
      <w:r w:rsidR="006C707B" w:rsidRPr="00AC7C88">
        <w:rPr>
          <w:b/>
          <w:bCs/>
        </w:rPr>
        <w:t>T</w:t>
      </w:r>
      <w:r w:rsidR="006C707B" w:rsidRPr="00AC7C88">
        <w:rPr>
          <w:b/>
          <w:bCs/>
          <w:vertAlign w:val="subscript"/>
        </w:rPr>
        <w:t>Event_DU</w:t>
      </w:r>
      <w:r w:rsidR="006C707B">
        <w:rPr>
          <w:lang w:val="en-GB"/>
        </w:rPr>
        <w:t xml:space="preserve"> will be considerably larger than for terrestrial networks. </w:t>
      </w:r>
    </w:p>
    <w:p w14:paraId="51FC39B3" w14:textId="094B2E5F" w:rsidR="006C2B3B" w:rsidRPr="00460577" w:rsidRDefault="006C2B3B" w:rsidP="006C2B3B">
      <w:pPr>
        <w:rPr>
          <w:i/>
          <w:iCs/>
        </w:rPr>
      </w:pPr>
      <w:r w:rsidRPr="00460577">
        <w:rPr>
          <w:i/>
          <w:iCs/>
        </w:rPr>
        <w:t>Observation 2: It is reasonable to assume</w:t>
      </w:r>
      <w:r w:rsidR="00EB2694">
        <w:rPr>
          <w:i/>
          <w:iCs/>
        </w:rPr>
        <w:t xml:space="preserve"> that</w:t>
      </w:r>
      <w:r w:rsidRPr="00460577">
        <w:rPr>
          <w:i/>
          <w:iCs/>
        </w:rPr>
        <w:t xml:space="preserve"> the RRC CHO command transmission time is selected by the network such that the </w:t>
      </w:r>
      <w:r w:rsidR="0021562C" w:rsidRPr="00460577">
        <w:rPr>
          <w:i/>
          <w:iCs/>
        </w:rPr>
        <w:t>[t</w:t>
      </w:r>
      <w:r w:rsidRPr="00460577">
        <w:rPr>
          <w:i/>
          <w:iCs/>
        </w:rPr>
        <w:t>1</w:t>
      </w:r>
      <w:r w:rsidR="0021562C" w:rsidRPr="00460577">
        <w:rPr>
          <w:i/>
          <w:iCs/>
        </w:rPr>
        <w:t>]</w:t>
      </w:r>
      <w:r w:rsidRPr="00460577">
        <w:rPr>
          <w:i/>
          <w:iCs/>
        </w:rPr>
        <w:t xml:space="preserve"> and </w:t>
      </w:r>
      <w:r w:rsidR="0021562C" w:rsidRPr="00460577">
        <w:rPr>
          <w:i/>
          <w:iCs/>
        </w:rPr>
        <w:t>[t2]</w:t>
      </w:r>
      <w:r w:rsidRPr="00460577">
        <w:rPr>
          <w:i/>
          <w:iCs/>
        </w:rPr>
        <w:t xml:space="preserve"> time values are within valid range w.r.t. the delay uncertainties of the NTN CHO timeline, such that the expected T</w:t>
      </w:r>
      <w:r w:rsidRPr="00460577">
        <w:rPr>
          <w:i/>
          <w:iCs/>
          <w:vertAlign w:val="subscript"/>
        </w:rPr>
        <w:t>RRC</w:t>
      </w:r>
      <w:r w:rsidRPr="00460577">
        <w:rPr>
          <w:i/>
          <w:iCs/>
        </w:rPr>
        <w:t xml:space="preserve"> + T</w:t>
      </w:r>
      <w:r w:rsidRPr="00460577">
        <w:rPr>
          <w:i/>
          <w:iCs/>
          <w:vertAlign w:val="subscript"/>
        </w:rPr>
        <w:t>Event_DU</w:t>
      </w:r>
      <w:r w:rsidRPr="00460577">
        <w:rPr>
          <w:i/>
          <w:iCs/>
        </w:rPr>
        <w:t xml:space="preserve"> + T</w:t>
      </w:r>
      <w:r w:rsidRPr="00460577">
        <w:rPr>
          <w:i/>
          <w:iCs/>
          <w:vertAlign w:val="subscript"/>
        </w:rPr>
        <w:t>measure</w:t>
      </w:r>
      <w:r w:rsidRPr="00460577">
        <w:rPr>
          <w:i/>
          <w:iCs/>
        </w:rPr>
        <w:t xml:space="preserve"> + T</w:t>
      </w:r>
      <w:r w:rsidRPr="00460577">
        <w:rPr>
          <w:i/>
          <w:iCs/>
          <w:vertAlign w:val="subscript"/>
        </w:rPr>
        <w:t>CHO_execution  delay</w:t>
      </w:r>
      <w:r w:rsidRPr="00460577">
        <w:rPr>
          <w:i/>
          <w:iCs/>
        </w:rPr>
        <w:t xml:space="preserve"> ends between </w:t>
      </w:r>
      <w:r w:rsidR="00C71E84" w:rsidRPr="00460577">
        <w:rPr>
          <w:i/>
          <w:iCs/>
        </w:rPr>
        <w:t>[t1]</w:t>
      </w:r>
      <w:r w:rsidRPr="00460577">
        <w:rPr>
          <w:i/>
          <w:iCs/>
        </w:rPr>
        <w:t xml:space="preserve"> and </w:t>
      </w:r>
      <w:r w:rsidR="00C71E84" w:rsidRPr="00460577">
        <w:rPr>
          <w:i/>
          <w:iCs/>
        </w:rPr>
        <w:t>[t2]</w:t>
      </w:r>
      <w:r w:rsidR="007B0A7E" w:rsidRPr="00460577">
        <w:rPr>
          <w:i/>
          <w:iCs/>
        </w:rPr>
        <w:t>, as also pointed out in [4]</w:t>
      </w:r>
      <w:r w:rsidRPr="00460577">
        <w:rPr>
          <w:i/>
          <w:iCs/>
        </w:rPr>
        <w:t xml:space="preserve">. Therefore, the delays for </w:t>
      </w:r>
      <w:r w:rsidR="0021562C" w:rsidRPr="00460577">
        <w:rPr>
          <w:i/>
          <w:iCs/>
        </w:rPr>
        <w:t>[t</w:t>
      </w:r>
      <w:r w:rsidRPr="00460577">
        <w:rPr>
          <w:i/>
          <w:iCs/>
        </w:rPr>
        <w:t>1</w:t>
      </w:r>
      <w:r w:rsidR="0021562C" w:rsidRPr="00460577">
        <w:rPr>
          <w:i/>
          <w:iCs/>
        </w:rPr>
        <w:t>]</w:t>
      </w:r>
      <w:r w:rsidRPr="00460577">
        <w:rPr>
          <w:i/>
          <w:iCs/>
        </w:rPr>
        <w:t xml:space="preserve"> (and </w:t>
      </w:r>
      <w:r w:rsidR="0021562C" w:rsidRPr="00460577">
        <w:rPr>
          <w:i/>
          <w:iCs/>
        </w:rPr>
        <w:t>[t</w:t>
      </w:r>
      <w:r w:rsidRPr="00460577">
        <w:rPr>
          <w:i/>
          <w:iCs/>
        </w:rPr>
        <w:t>2</w:t>
      </w:r>
      <w:r w:rsidR="0021562C" w:rsidRPr="00460577">
        <w:rPr>
          <w:i/>
          <w:iCs/>
        </w:rPr>
        <w:t>]</w:t>
      </w:r>
      <w:r w:rsidRPr="00460577">
        <w:rPr>
          <w:i/>
          <w:iCs/>
        </w:rPr>
        <w:t>) time values do not need to be explicitly part of the delay uncertainties of the NTN CHO timeline.</w:t>
      </w:r>
    </w:p>
    <w:p w14:paraId="77BFB5FB" w14:textId="78F26307" w:rsidR="0050132F" w:rsidRDefault="00A4164E" w:rsidP="00F25B3F">
      <w:pPr>
        <w:rPr>
          <w:lang w:val="en-GB"/>
        </w:rPr>
      </w:pPr>
      <w:r w:rsidRPr="00AC7C88">
        <w:rPr>
          <w:b/>
          <w:bCs/>
          <w:lang w:val="en-GB"/>
        </w:rPr>
        <w:t>Proposal 2:</w:t>
      </w:r>
      <w:r w:rsidR="00091655" w:rsidRPr="00AC7C88">
        <w:rPr>
          <w:b/>
          <w:bCs/>
          <w:lang w:val="en-GB"/>
        </w:rPr>
        <w:t xml:space="preserve"> </w:t>
      </w:r>
      <w:r w:rsidR="001022FF" w:rsidRPr="00AC7C88">
        <w:rPr>
          <w:b/>
          <w:bCs/>
          <w:lang w:val="en-GB"/>
        </w:rPr>
        <w:t>Adopt t</w:t>
      </w:r>
      <w:r w:rsidR="00723A5B" w:rsidRPr="00AC7C88">
        <w:rPr>
          <w:b/>
          <w:bCs/>
          <w:lang w:val="en-GB"/>
        </w:rPr>
        <w:t>he NTN CHO timeline depicted in Figure</w:t>
      </w:r>
      <w:r w:rsidR="001022FF" w:rsidRPr="00AC7C88">
        <w:rPr>
          <w:b/>
          <w:bCs/>
          <w:lang w:val="en-GB"/>
        </w:rPr>
        <w:t xml:space="preserve"> below</w:t>
      </w:r>
      <w:r w:rsidR="00723A5B" w:rsidRPr="00AC7C88">
        <w:rPr>
          <w:b/>
          <w:bCs/>
          <w:lang w:val="en-GB"/>
        </w:rPr>
        <w:t>.</w:t>
      </w:r>
    </w:p>
    <w:p w14:paraId="66A2F05D" w14:textId="769FABC1" w:rsidR="00077E74" w:rsidRDefault="00932C59" w:rsidP="00723A5B">
      <w:pPr>
        <w:jc w:val="center"/>
        <w:rPr>
          <w:lang w:val="en-GB"/>
        </w:rPr>
      </w:pPr>
      <w:r>
        <w:rPr>
          <w:noProof/>
          <w:lang w:val="en-GB"/>
        </w:rPr>
        <w:lastRenderedPageBreak/>
        <w:drawing>
          <wp:inline distT="0" distB="0" distL="0" distR="0" wp14:anchorId="1E8DF243" wp14:editId="56FB029A">
            <wp:extent cx="5779770" cy="2200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9770" cy="2200910"/>
                    </a:xfrm>
                    <a:prstGeom prst="rect">
                      <a:avLst/>
                    </a:prstGeom>
                    <a:noFill/>
                  </pic:spPr>
                </pic:pic>
              </a:graphicData>
            </a:graphic>
          </wp:inline>
        </w:drawing>
      </w:r>
    </w:p>
    <w:p w14:paraId="30606D02" w14:textId="15768CBC" w:rsidR="00723A5B" w:rsidRPr="007B0000" w:rsidRDefault="00723A5B" w:rsidP="00723A5B">
      <w:pPr>
        <w:jc w:val="center"/>
        <w:rPr>
          <w:i/>
          <w:iCs/>
          <w:lang w:val="en-GB"/>
        </w:rPr>
      </w:pPr>
      <w:r w:rsidRPr="007B0000">
        <w:rPr>
          <w:i/>
          <w:iCs/>
          <w:lang w:val="en-GB"/>
        </w:rPr>
        <w:t>Figure 1 - NTN CHO timeline, with indication of valid range for [t1] and earliest [t2] as configured by the network.</w:t>
      </w:r>
    </w:p>
    <w:p w14:paraId="47BEF751" w14:textId="77777777" w:rsidR="005D1302" w:rsidRDefault="005D1302" w:rsidP="006C2B3B">
      <w:pPr>
        <w:rPr>
          <w:lang w:val="en-GB"/>
        </w:rPr>
      </w:pPr>
    </w:p>
    <w:p w14:paraId="2BFDF031" w14:textId="682DFFE6" w:rsidR="00723A5B" w:rsidRPr="00091655" w:rsidRDefault="00091655" w:rsidP="006C2B3B">
      <w:pPr>
        <w:rPr>
          <w:lang w:val="en-GB"/>
        </w:rPr>
      </w:pPr>
      <w:r w:rsidRPr="00091655">
        <w:rPr>
          <w:lang w:val="en-GB"/>
        </w:rPr>
        <w:t xml:space="preserve">In </w:t>
      </w:r>
      <w:r w:rsidR="006D4525">
        <w:rPr>
          <w:bCs/>
        </w:rPr>
        <w:t xml:space="preserve">Issue 2-2-1 </w:t>
      </w:r>
      <w:r w:rsidRPr="00091655">
        <w:rPr>
          <w:lang w:val="en-GB"/>
        </w:rPr>
        <w:t>Option 2</w:t>
      </w:r>
      <w:r>
        <w:rPr>
          <w:lang w:val="en-GB"/>
        </w:rPr>
        <w:t>, there is another new delay uncertainty introduced</w:t>
      </w:r>
      <w:r w:rsidR="00BD7925">
        <w:rPr>
          <w:lang w:val="en-GB"/>
        </w:rPr>
        <w:t>,</w:t>
      </w:r>
      <w:r>
        <w:rPr>
          <w:lang w:val="en-GB"/>
        </w:rPr>
        <w:t xml:space="preserve"> T</w:t>
      </w:r>
      <w:r w:rsidRPr="00091655">
        <w:rPr>
          <w:vertAlign w:val="subscript"/>
          <w:lang w:val="en-GB"/>
        </w:rPr>
        <w:t>diff</w:t>
      </w:r>
      <w:r>
        <w:rPr>
          <w:vertAlign w:val="subscript"/>
          <w:lang w:val="en-GB"/>
        </w:rPr>
        <w:t xml:space="preserve"> </w:t>
      </w:r>
      <w:r w:rsidR="00BD7925">
        <w:rPr>
          <w:lang w:val="en-GB"/>
        </w:rPr>
        <w:t>, t</w:t>
      </w:r>
      <w:r>
        <w:rPr>
          <w:lang w:val="en-GB"/>
        </w:rPr>
        <w:t xml:space="preserve">o account for the </w:t>
      </w:r>
      <w:r w:rsidRPr="00091655">
        <w:rPr>
          <w:i/>
          <w:iCs/>
          <w:lang w:val="en-GB"/>
        </w:rPr>
        <w:t>“</w:t>
      </w:r>
      <w:r w:rsidRPr="00091655">
        <w:rPr>
          <w:bCs/>
          <w:i/>
          <w:iCs/>
        </w:rPr>
        <w:t>absolute timing difference in ms, between serving and target cells”</w:t>
      </w:r>
      <w:r w:rsidR="00D85888">
        <w:rPr>
          <w:bCs/>
          <w:i/>
          <w:iCs/>
        </w:rPr>
        <w:t xml:space="preserve"> </w:t>
      </w:r>
      <w:r w:rsidR="00D85888" w:rsidRPr="00D85888">
        <w:rPr>
          <w:bCs/>
        </w:rPr>
        <w:t>[1]</w:t>
      </w:r>
      <w:r>
        <w:rPr>
          <w:bCs/>
        </w:rPr>
        <w:t xml:space="preserve">. In our understanding this timing difference is relevant only for cases when the source and target cells are from different satellites, which is a rather corner case </w:t>
      </w:r>
      <w:r w:rsidR="006B2516">
        <w:rPr>
          <w:bCs/>
        </w:rPr>
        <w:t xml:space="preserve">for </w:t>
      </w:r>
      <w:r>
        <w:rPr>
          <w:bCs/>
        </w:rPr>
        <w:t>using CHO due to overhead introduced by the required signaling and configurations mechanisms</w:t>
      </w:r>
      <w:r w:rsidR="00DF5799">
        <w:rPr>
          <w:bCs/>
        </w:rPr>
        <w:t>.</w:t>
      </w:r>
    </w:p>
    <w:p w14:paraId="1A111086" w14:textId="1FCC6940" w:rsidR="006C2B3B" w:rsidRPr="00A356CD" w:rsidRDefault="006C2B3B" w:rsidP="006C2B3B">
      <w:pPr>
        <w:rPr>
          <w:i/>
          <w:iCs/>
          <w:lang w:val="en-GB"/>
        </w:rPr>
      </w:pPr>
      <w:r w:rsidRPr="00A356CD">
        <w:rPr>
          <w:i/>
          <w:iCs/>
          <w:lang w:val="en-GB"/>
        </w:rPr>
        <w:t>Observation</w:t>
      </w:r>
      <w:r w:rsidR="00723A5B" w:rsidRPr="00A356CD">
        <w:rPr>
          <w:i/>
          <w:iCs/>
          <w:lang w:val="en-GB"/>
        </w:rPr>
        <w:t xml:space="preserve"> </w:t>
      </w:r>
      <w:r w:rsidRPr="00A356CD">
        <w:rPr>
          <w:i/>
          <w:iCs/>
          <w:lang w:val="en-GB"/>
        </w:rPr>
        <w:t>3: The absolute timing difference between serving and target cells is relevant when the source and target cells are from different satellites.</w:t>
      </w:r>
    </w:p>
    <w:p w14:paraId="7FEE774A" w14:textId="64BC297A" w:rsidR="00070AF5" w:rsidRPr="006C2B3B" w:rsidRDefault="00070AF5" w:rsidP="006C2B3B">
      <w:pPr>
        <w:rPr>
          <w:lang w:val="en-GB"/>
        </w:rPr>
      </w:pPr>
      <w:r>
        <w:rPr>
          <w:bCs/>
        </w:rPr>
        <w:t xml:space="preserve">It is then more natural to extend </w:t>
      </w:r>
      <w:r w:rsidRPr="00625D97">
        <w:rPr>
          <w:bCs/>
        </w:rPr>
        <w:t>T</w:t>
      </w:r>
      <w:r w:rsidRPr="00625D97">
        <w:rPr>
          <w:bCs/>
          <w:vertAlign w:val="subscript"/>
        </w:rPr>
        <w:t>measure</w:t>
      </w:r>
      <w:r>
        <w:rPr>
          <w:lang w:val="en-GB"/>
        </w:rPr>
        <w:t xml:space="preserve"> when required. This can be handled similarly to the current definition of </w:t>
      </w:r>
      <w:r w:rsidRPr="00625D97">
        <w:rPr>
          <w:bCs/>
        </w:rPr>
        <w:t>T</w:t>
      </w:r>
      <w:r w:rsidRPr="00625D97">
        <w:rPr>
          <w:bCs/>
          <w:vertAlign w:val="subscript"/>
        </w:rPr>
        <w:t>measure</w:t>
      </w:r>
      <w:r>
        <w:rPr>
          <w:lang w:val="en-GB"/>
        </w:rPr>
        <w:t xml:space="preserve"> for the cases when TTT or L3 filtering is used</w:t>
      </w:r>
      <w:r w:rsidR="000E5581">
        <w:rPr>
          <w:lang w:val="en-GB"/>
        </w:rPr>
        <w:t xml:space="preserve"> i.e.</w:t>
      </w:r>
      <w:r w:rsidR="00CA576E">
        <w:rPr>
          <w:lang w:val="en-GB"/>
        </w:rPr>
        <w:t>, consider T</w:t>
      </w:r>
      <w:r w:rsidR="00CA576E" w:rsidRPr="00091655">
        <w:rPr>
          <w:vertAlign w:val="subscript"/>
          <w:lang w:val="en-GB"/>
        </w:rPr>
        <w:t>diff</w:t>
      </w:r>
      <w:r w:rsidR="000E5581">
        <w:rPr>
          <w:lang w:val="en-GB"/>
        </w:rPr>
        <w:t xml:space="preserve"> </w:t>
      </w:r>
      <w:r w:rsidR="00CA576E">
        <w:rPr>
          <w:lang w:val="en-GB"/>
        </w:rPr>
        <w:t>as</w:t>
      </w:r>
      <w:r w:rsidR="00FD227F">
        <w:rPr>
          <w:lang w:val="en-GB"/>
        </w:rPr>
        <w:t xml:space="preserve"> an</w:t>
      </w:r>
      <w:r w:rsidR="00CA576E">
        <w:rPr>
          <w:lang w:val="en-GB"/>
        </w:rPr>
        <w:t xml:space="preserve"> </w:t>
      </w:r>
      <w:r w:rsidR="000E5581">
        <w:rPr>
          <w:lang w:val="en-GB"/>
        </w:rPr>
        <w:t>“</w:t>
      </w:r>
      <w:r w:rsidR="000E5581" w:rsidRPr="00D768A6">
        <w:rPr>
          <w:i/>
          <w:iCs/>
        </w:rPr>
        <w:t>additional delay</w:t>
      </w:r>
      <w:r w:rsidR="00FD227F">
        <w:rPr>
          <w:i/>
          <w:iCs/>
        </w:rPr>
        <w:t>”</w:t>
      </w:r>
      <w:r w:rsidR="00D768A6">
        <w:t xml:space="preserve"> [2]</w:t>
      </w:r>
      <w:r w:rsidR="000E5581">
        <w:t>.</w:t>
      </w:r>
    </w:p>
    <w:p w14:paraId="56596BC0" w14:textId="7701F6A9" w:rsidR="006C2B3B" w:rsidRPr="00A356CD" w:rsidRDefault="006C2B3B" w:rsidP="006C2B3B">
      <w:pPr>
        <w:rPr>
          <w:i/>
          <w:iCs/>
          <w:lang w:val="en-GB"/>
        </w:rPr>
      </w:pPr>
      <w:r w:rsidRPr="00A356CD">
        <w:rPr>
          <w:i/>
          <w:iCs/>
          <w:lang w:val="en-GB"/>
        </w:rPr>
        <w:t>Observation</w:t>
      </w:r>
      <w:r w:rsidR="00723A5B" w:rsidRPr="00A356CD">
        <w:rPr>
          <w:i/>
          <w:iCs/>
          <w:lang w:val="en-GB"/>
        </w:rPr>
        <w:t xml:space="preserve"> </w:t>
      </w:r>
      <w:r w:rsidRPr="00A356CD">
        <w:rPr>
          <w:i/>
          <w:iCs/>
          <w:lang w:val="en-GB"/>
        </w:rPr>
        <w:t>4:  The absolute timing difference between serving and target cells introduces a delay to when the target cell is detectable by the UE i.e., when the UE can identify the target cell (SSB measurements) and this procedure is part of the T</w:t>
      </w:r>
      <w:r w:rsidRPr="00A356CD">
        <w:rPr>
          <w:i/>
          <w:iCs/>
          <w:vertAlign w:val="subscript"/>
          <w:lang w:val="en-GB"/>
        </w:rPr>
        <w:t>measure</w:t>
      </w:r>
      <w:r w:rsidRPr="00A356CD">
        <w:rPr>
          <w:i/>
          <w:iCs/>
          <w:lang w:val="en-GB"/>
        </w:rPr>
        <w:t xml:space="preserve"> (TS 38.133 clause 6.1.4.2.2).</w:t>
      </w:r>
    </w:p>
    <w:p w14:paraId="1759CED8" w14:textId="38F12862" w:rsidR="00077E74" w:rsidRPr="00AC7C88" w:rsidRDefault="006C2B3B" w:rsidP="00F25B3F">
      <w:pPr>
        <w:rPr>
          <w:b/>
          <w:bCs/>
          <w:lang w:val="en-GB"/>
        </w:rPr>
      </w:pPr>
      <w:r w:rsidRPr="00AC7C88">
        <w:rPr>
          <w:b/>
          <w:bCs/>
          <w:lang w:val="en-GB"/>
        </w:rPr>
        <w:t xml:space="preserve">Proposal </w:t>
      </w:r>
      <w:r w:rsidR="00A4164E" w:rsidRPr="00AC7C88">
        <w:rPr>
          <w:b/>
          <w:bCs/>
          <w:lang w:val="en-GB"/>
        </w:rPr>
        <w:t>3</w:t>
      </w:r>
      <w:r w:rsidRPr="00AC7C88">
        <w:rPr>
          <w:b/>
          <w:bCs/>
          <w:lang w:val="en-GB"/>
        </w:rPr>
        <w:t xml:space="preserve">: The time difference between the source and target cell </w:t>
      </w:r>
      <w:r w:rsidR="00F11590">
        <w:rPr>
          <w:b/>
          <w:bCs/>
          <w:lang w:val="en-GB"/>
        </w:rPr>
        <w:t>should</w:t>
      </w:r>
      <w:r w:rsidRPr="00AC7C88">
        <w:rPr>
          <w:b/>
          <w:bCs/>
          <w:lang w:val="en-GB"/>
        </w:rPr>
        <w:t xml:space="preserve"> be included in T</w:t>
      </w:r>
      <w:r w:rsidRPr="00AC7C88">
        <w:rPr>
          <w:b/>
          <w:bCs/>
          <w:vertAlign w:val="subscript"/>
          <w:lang w:val="en-GB"/>
        </w:rPr>
        <w:t>measure</w:t>
      </w:r>
      <w:r w:rsidR="000F307D" w:rsidRPr="00AC7C88">
        <w:rPr>
          <w:b/>
          <w:bCs/>
          <w:lang w:val="en-GB"/>
        </w:rPr>
        <w:t>.</w:t>
      </w:r>
    </w:p>
    <w:p w14:paraId="71722FCC" w14:textId="6B04CCE1" w:rsidR="000F307D" w:rsidRPr="00AC7C88" w:rsidRDefault="00F44797" w:rsidP="00F25B3F">
      <w:pPr>
        <w:rPr>
          <w:rFonts w:eastAsia="MS Mincho"/>
        </w:rPr>
      </w:pPr>
      <w:r w:rsidRPr="00AC7C88">
        <w:rPr>
          <w:lang w:val="en-GB"/>
        </w:rPr>
        <w:t xml:space="preserve">An open issue to be addressed in RAN4 </w:t>
      </w:r>
      <w:r w:rsidR="007521A3" w:rsidRPr="00AC7C88">
        <w:rPr>
          <w:lang w:val="en-GB"/>
        </w:rPr>
        <w:t>is what happens to the CHO timeline when the CH</w:t>
      </w:r>
      <w:r w:rsidR="007C4BA7" w:rsidRPr="00AC7C88">
        <w:rPr>
          <w:lang w:val="en-GB"/>
        </w:rPr>
        <w:t>O</w:t>
      </w:r>
      <w:r w:rsidR="007521A3" w:rsidRPr="00AC7C88">
        <w:rPr>
          <w:lang w:val="en-GB"/>
        </w:rPr>
        <w:t xml:space="preserve"> cannot be executed at latest [t2] due to conditions</w:t>
      </w:r>
      <w:r w:rsidR="00D5708D" w:rsidRPr="00AC7C88">
        <w:rPr>
          <w:lang w:val="en-GB"/>
        </w:rPr>
        <w:t xml:space="preserve"> not being met, i.e. during either </w:t>
      </w:r>
      <w:r w:rsidR="00D5708D" w:rsidRPr="00AC7C88">
        <w:rPr>
          <w:bCs/>
        </w:rPr>
        <w:t>T</w:t>
      </w:r>
      <w:r w:rsidR="00D5708D" w:rsidRPr="00AC7C88">
        <w:rPr>
          <w:bCs/>
          <w:vertAlign w:val="subscript"/>
        </w:rPr>
        <w:t xml:space="preserve">Event_DU  </w:t>
      </w:r>
      <w:r w:rsidR="00D5708D" w:rsidRPr="00AC7C88">
        <w:rPr>
          <w:bCs/>
        </w:rPr>
        <w:t xml:space="preserve">or </w:t>
      </w:r>
      <w:r w:rsidR="00D5708D" w:rsidRPr="00AC7C88">
        <w:rPr>
          <w:lang w:val="en-GB"/>
        </w:rPr>
        <w:t>T</w:t>
      </w:r>
      <w:r w:rsidR="00D5708D" w:rsidRPr="00AC7C88">
        <w:rPr>
          <w:vertAlign w:val="subscript"/>
          <w:lang w:val="en-GB"/>
        </w:rPr>
        <w:t xml:space="preserve">measure </w:t>
      </w:r>
      <w:r w:rsidR="00D5708D" w:rsidRPr="00AC7C88">
        <w:rPr>
          <w:lang w:val="en-GB"/>
        </w:rPr>
        <w:t xml:space="preserve">the </w:t>
      </w:r>
      <w:r w:rsidR="00F0072A" w:rsidRPr="00AC7C88">
        <w:rPr>
          <w:lang w:val="en-GB"/>
        </w:rPr>
        <w:t xml:space="preserve">corresponding </w:t>
      </w:r>
      <w:r w:rsidR="00D5708D" w:rsidRPr="00AC7C88">
        <w:rPr>
          <w:lang w:val="en-GB"/>
        </w:rPr>
        <w:t xml:space="preserve">UE </w:t>
      </w:r>
      <w:r w:rsidR="00F0072A" w:rsidRPr="00AC7C88">
        <w:rPr>
          <w:lang w:val="en-GB"/>
        </w:rPr>
        <w:t xml:space="preserve">procedure </w:t>
      </w:r>
      <w:r w:rsidR="00D5708D" w:rsidRPr="00AC7C88">
        <w:rPr>
          <w:lang w:val="en-GB"/>
        </w:rPr>
        <w:t>fails</w:t>
      </w:r>
      <w:r w:rsidR="00204880" w:rsidRPr="00AC7C88">
        <w:rPr>
          <w:lang w:val="en-GB"/>
        </w:rPr>
        <w:t>. One option is to rely on a recovery mechanism</w:t>
      </w:r>
      <w:r w:rsidR="00315F58" w:rsidRPr="00AC7C88">
        <w:rPr>
          <w:lang w:val="en-GB"/>
        </w:rPr>
        <w:t xml:space="preserve"> </w:t>
      </w:r>
      <w:r w:rsidR="00315F58" w:rsidRPr="00AC7C88">
        <w:rPr>
          <w:rFonts w:eastAsia="MS Mincho"/>
        </w:rPr>
        <w:t>as defined in Rel-16.</w:t>
      </w:r>
      <w:r w:rsidR="00DD0934" w:rsidRPr="00AC7C88">
        <w:rPr>
          <w:rFonts w:eastAsia="MS Mincho"/>
        </w:rPr>
        <w:t xml:space="preserve"> If the UE does not execute CHO until [t2] and it was configured for CHO Recovery, the UE shall keep the CHO configurations for candidate cells.</w:t>
      </w:r>
    </w:p>
    <w:p w14:paraId="06EE441B" w14:textId="34BE32F7" w:rsidR="009154C9" w:rsidRPr="00D5708D" w:rsidRDefault="00AE52DC" w:rsidP="00F25B3F">
      <w:pPr>
        <w:rPr>
          <w:lang w:val="en-GB"/>
        </w:rPr>
      </w:pPr>
      <w:r w:rsidRPr="00AC7C88">
        <w:rPr>
          <w:rFonts w:eastAsia="MS Mincho"/>
          <w:b/>
          <w:bCs/>
        </w:rPr>
        <w:t xml:space="preserve">Proposal 4: </w:t>
      </w:r>
      <w:r w:rsidR="0022276C" w:rsidRPr="00AC7C88">
        <w:rPr>
          <w:rFonts w:eastAsia="MS Mincho"/>
          <w:b/>
          <w:bCs/>
        </w:rPr>
        <w:t xml:space="preserve">Wait for RAN2 decision on how to handle </w:t>
      </w:r>
      <w:r w:rsidRPr="00AC7C88">
        <w:rPr>
          <w:rFonts w:eastAsia="MS Mincho"/>
          <w:b/>
          <w:bCs/>
        </w:rPr>
        <w:t xml:space="preserve">CHO </w:t>
      </w:r>
      <w:r w:rsidR="00AC7C88" w:rsidRPr="00AC7C88">
        <w:rPr>
          <w:rFonts w:eastAsia="MS Mincho"/>
          <w:b/>
          <w:bCs/>
        </w:rPr>
        <w:t>failures</w:t>
      </w:r>
      <w:r w:rsidR="00AC7C88">
        <w:rPr>
          <w:rFonts w:eastAsia="MS Mincho"/>
          <w:b/>
          <w:bCs/>
        </w:rPr>
        <w:t>.</w:t>
      </w:r>
    </w:p>
    <w:p w14:paraId="761516E1" w14:textId="77777777" w:rsidR="00CD7492" w:rsidRPr="007C00C6" w:rsidRDefault="00CD7492" w:rsidP="00A37002">
      <w:pPr>
        <w:pStyle w:val="RAN4H1"/>
      </w:pPr>
      <w:r w:rsidRPr="007C00C6">
        <w:t>Conclusion</w:t>
      </w:r>
    </w:p>
    <w:p w14:paraId="6E84F711" w14:textId="75E3FAD3" w:rsidR="005C3563" w:rsidRDefault="00FE02D5" w:rsidP="005C3563">
      <w:pPr>
        <w:ind w:right="-22"/>
        <w:rPr>
          <w:bCs/>
        </w:rPr>
      </w:pPr>
      <w:r>
        <w:rPr>
          <w:lang w:val="en-GB"/>
        </w:rPr>
        <w:t xml:space="preserve">The document has </w:t>
      </w:r>
      <w:r w:rsidR="00292BAC">
        <w:rPr>
          <w:lang w:val="en-GB"/>
        </w:rPr>
        <w:t>discussed</w:t>
      </w:r>
      <w:r w:rsidR="005C3563">
        <w:rPr>
          <w:lang w:val="en-GB"/>
        </w:rPr>
        <w:t xml:space="preserve"> </w:t>
      </w:r>
      <w:r w:rsidR="005C3563">
        <w:rPr>
          <w:bCs/>
        </w:rPr>
        <w:t>the preferred options for the definition of the NTN CHO timeline (</w:t>
      </w:r>
      <w:r w:rsidR="005C3563" w:rsidRPr="00265AE7">
        <w:rPr>
          <w:rStyle w:val="normaltextrun"/>
          <w:color w:val="000000"/>
          <w:szCs w:val="20"/>
          <w:shd w:val="clear" w:color="auto" w:fill="FFFFFF"/>
          <w:lang w:val="en-GB"/>
        </w:rPr>
        <w:t>D</w:t>
      </w:r>
      <w:r w:rsidR="005C3563" w:rsidRPr="00265AE7">
        <w:rPr>
          <w:rStyle w:val="normaltextrun"/>
          <w:color w:val="000000"/>
          <w:sz w:val="16"/>
          <w:szCs w:val="16"/>
          <w:shd w:val="clear" w:color="auto" w:fill="FFFFFF"/>
          <w:vertAlign w:val="subscript"/>
          <w:lang w:val="en-GB"/>
        </w:rPr>
        <w:t>CHO</w:t>
      </w:r>
      <w:r w:rsidR="005C3563">
        <w:rPr>
          <w:bCs/>
        </w:rPr>
        <w:t>) and the corresponding delay uncertainties involved, as part of the way forward for Issue 2-2-1 in [1].</w:t>
      </w:r>
    </w:p>
    <w:p w14:paraId="343E4B7A" w14:textId="63B84EBC" w:rsidR="0070402F" w:rsidRDefault="00D65DF0" w:rsidP="00077E74">
      <w:pPr>
        <w:rPr>
          <w:lang w:val="en-GB"/>
        </w:rPr>
      </w:pPr>
      <w:r>
        <w:rPr>
          <w:lang w:val="en-GB"/>
        </w:rPr>
        <w:t>The following observations and proposals are made:</w:t>
      </w:r>
    </w:p>
    <w:p w14:paraId="0AFBBD02" w14:textId="77777777" w:rsidR="00412154" w:rsidRPr="00F73AA0" w:rsidRDefault="00412154" w:rsidP="00412154">
      <w:pPr>
        <w:rPr>
          <w:i/>
          <w:iCs/>
        </w:rPr>
      </w:pPr>
      <w:r w:rsidRPr="00F73AA0">
        <w:rPr>
          <w:i/>
          <w:iCs/>
        </w:rPr>
        <w:t>Observation 1: The delays needed to determine/evaluate the NTN specific time or location conditions (if configured) should be explicitly part of the T</w:t>
      </w:r>
      <w:r w:rsidRPr="00F73AA0">
        <w:rPr>
          <w:i/>
          <w:iCs/>
          <w:vertAlign w:val="subscript"/>
        </w:rPr>
        <w:t>Event_DU</w:t>
      </w:r>
      <w:r w:rsidRPr="00F73AA0">
        <w:rPr>
          <w:i/>
          <w:iCs/>
        </w:rPr>
        <w:t xml:space="preserve"> delay uncertainty.</w:t>
      </w:r>
    </w:p>
    <w:p w14:paraId="4A6F1E7B" w14:textId="768EA5B7" w:rsidR="00077E74" w:rsidRPr="00AC7C88" w:rsidRDefault="00412154" w:rsidP="00412154">
      <w:pPr>
        <w:rPr>
          <w:b/>
          <w:bCs/>
        </w:rPr>
      </w:pPr>
      <w:r w:rsidRPr="00AC7C88">
        <w:rPr>
          <w:b/>
          <w:bCs/>
        </w:rPr>
        <w:t>Proposal 1: T</w:t>
      </w:r>
      <w:r w:rsidRPr="00AC7C88">
        <w:rPr>
          <w:b/>
          <w:bCs/>
          <w:vertAlign w:val="subscript"/>
        </w:rPr>
        <w:t>Event_DU</w:t>
      </w:r>
      <w:r w:rsidRPr="00AC7C88">
        <w:rPr>
          <w:b/>
          <w:bCs/>
        </w:rPr>
        <w:t xml:space="preserve"> is the delay uncertainty which is the time from when the UE successfully decodes a conditional handover command until the later of the time when a measurement condition exists at the measurement reference point and the time when a time or location condition (if configured) exists</w:t>
      </w:r>
    </w:p>
    <w:p w14:paraId="5053B359" w14:textId="21608066" w:rsidR="00412154" w:rsidRPr="00F73AA0" w:rsidRDefault="00412154" w:rsidP="00412154">
      <w:pPr>
        <w:rPr>
          <w:i/>
          <w:iCs/>
        </w:rPr>
      </w:pPr>
      <w:r w:rsidRPr="00F73AA0">
        <w:rPr>
          <w:i/>
          <w:iCs/>
        </w:rPr>
        <w:t>Observation 2: It is reasonable to assume</w:t>
      </w:r>
      <w:r w:rsidR="00EB2694">
        <w:rPr>
          <w:i/>
          <w:iCs/>
        </w:rPr>
        <w:t xml:space="preserve"> that</w:t>
      </w:r>
      <w:r w:rsidRPr="00F73AA0">
        <w:rPr>
          <w:i/>
          <w:iCs/>
        </w:rPr>
        <w:t xml:space="preserve"> the RRC CHO command transmission time is selected by the network such that the [t1] and [t2] time values are within valid range w.r.t. the delay uncertainties of the NTN CHO timeline, such that the expected T</w:t>
      </w:r>
      <w:r w:rsidRPr="00F73AA0">
        <w:rPr>
          <w:i/>
          <w:iCs/>
          <w:vertAlign w:val="subscript"/>
        </w:rPr>
        <w:t>RRC</w:t>
      </w:r>
      <w:r w:rsidRPr="00F73AA0">
        <w:rPr>
          <w:i/>
          <w:iCs/>
        </w:rPr>
        <w:t xml:space="preserve"> + T</w:t>
      </w:r>
      <w:r w:rsidRPr="00F73AA0">
        <w:rPr>
          <w:i/>
          <w:iCs/>
          <w:vertAlign w:val="subscript"/>
        </w:rPr>
        <w:t>Event_DU</w:t>
      </w:r>
      <w:r w:rsidRPr="00F73AA0">
        <w:rPr>
          <w:i/>
          <w:iCs/>
        </w:rPr>
        <w:t xml:space="preserve"> + T</w:t>
      </w:r>
      <w:r w:rsidRPr="00F73AA0">
        <w:rPr>
          <w:i/>
          <w:iCs/>
          <w:vertAlign w:val="subscript"/>
        </w:rPr>
        <w:t>measure</w:t>
      </w:r>
      <w:r w:rsidRPr="00F73AA0">
        <w:rPr>
          <w:i/>
          <w:iCs/>
        </w:rPr>
        <w:t xml:space="preserve"> + T</w:t>
      </w:r>
      <w:r w:rsidRPr="00F73AA0">
        <w:rPr>
          <w:i/>
          <w:iCs/>
          <w:vertAlign w:val="subscript"/>
        </w:rPr>
        <w:t>CHO_execution  delay</w:t>
      </w:r>
      <w:r w:rsidRPr="00F73AA0">
        <w:rPr>
          <w:i/>
          <w:iCs/>
        </w:rPr>
        <w:t xml:space="preserve"> ends between [t1] and [t2], as also pointed out in </w:t>
      </w:r>
      <w:r w:rsidRPr="00F73AA0">
        <w:rPr>
          <w:i/>
          <w:iCs/>
        </w:rPr>
        <w:lastRenderedPageBreak/>
        <w:t>[4]. Therefore, the delays for [t1] (and [t2]) time values do not need to be explicitly part of the delay uncertainties of the NTN CHO timeline.</w:t>
      </w:r>
    </w:p>
    <w:p w14:paraId="36143320" w14:textId="15895EE4" w:rsidR="00412154" w:rsidRPr="00AC7C88" w:rsidRDefault="00412154" w:rsidP="00412154">
      <w:pPr>
        <w:rPr>
          <w:b/>
          <w:bCs/>
          <w:lang w:val="en-GB"/>
        </w:rPr>
      </w:pPr>
      <w:r w:rsidRPr="00AC7C88">
        <w:rPr>
          <w:b/>
          <w:bCs/>
          <w:lang w:val="en-GB"/>
        </w:rPr>
        <w:t>Proposal 2: Adopt the NTN CHO timeline depicted in Figure below.</w:t>
      </w:r>
    </w:p>
    <w:p w14:paraId="3FFA2BA4" w14:textId="02781056" w:rsidR="00412154" w:rsidRDefault="00932C59" w:rsidP="00412154">
      <w:pPr>
        <w:jc w:val="center"/>
        <w:rPr>
          <w:lang w:val="en-GB"/>
        </w:rPr>
      </w:pPr>
      <w:r>
        <w:rPr>
          <w:noProof/>
          <w:lang w:val="en-GB"/>
        </w:rPr>
        <w:drawing>
          <wp:inline distT="0" distB="0" distL="0" distR="0" wp14:anchorId="53175A6E" wp14:editId="41F507BA">
            <wp:extent cx="5779770" cy="2200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9770" cy="2200910"/>
                    </a:xfrm>
                    <a:prstGeom prst="rect">
                      <a:avLst/>
                    </a:prstGeom>
                    <a:noFill/>
                  </pic:spPr>
                </pic:pic>
              </a:graphicData>
            </a:graphic>
          </wp:inline>
        </w:drawing>
      </w:r>
    </w:p>
    <w:p w14:paraId="6B43CCC0" w14:textId="77777777" w:rsidR="00412154" w:rsidRPr="00F73AA0" w:rsidRDefault="00412154" w:rsidP="00412154">
      <w:pPr>
        <w:rPr>
          <w:i/>
          <w:iCs/>
          <w:lang w:val="en-GB"/>
        </w:rPr>
      </w:pPr>
      <w:r w:rsidRPr="00F73AA0">
        <w:rPr>
          <w:i/>
          <w:iCs/>
          <w:lang w:val="en-GB"/>
        </w:rPr>
        <w:t>Observation 3: The absolute timing difference between serving and target cells is relevant when the source and target cells are from different satellites.</w:t>
      </w:r>
    </w:p>
    <w:p w14:paraId="24793627" w14:textId="77777777" w:rsidR="00412154" w:rsidRPr="00F73AA0" w:rsidRDefault="00412154" w:rsidP="00412154">
      <w:pPr>
        <w:rPr>
          <w:i/>
          <w:iCs/>
          <w:lang w:val="en-GB"/>
        </w:rPr>
      </w:pPr>
      <w:r w:rsidRPr="00F73AA0">
        <w:rPr>
          <w:i/>
          <w:iCs/>
          <w:lang w:val="en-GB"/>
        </w:rPr>
        <w:t>Observation 4:  The absolute timing difference between serving and target cells introduces a delay to when the target cell is detectable by the UE i.e., when the UE can identify the target cell (SSB measurements) and this procedure is part of the T</w:t>
      </w:r>
      <w:r w:rsidRPr="00F73AA0">
        <w:rPr>
          <w:i/>
          <w:iCs/>
          <w:vertAlign w:val="subscript"/>
          <w:lang w:val="en-GB"/>
        </w:rPr>
        <w:t>measure</w:t>
      </w:r>
      <w:r w:rsidRPr="00F73AA0">
        <w:rPr>
          <w:i/>
          <w:iCs/>
          <w:lang w:val="en-GB"/>
        </w:rPr>
        <w:t xml:space="preserve"> (TS 38.133 clause 6.1.4.2.2).</w:t>
      </w:r>
    </w:p>
    <w:p w14:paraId="3B1C940E" w14:textId="759A87FB" w:rsidR="0070402F" w:rsidRPr="00AC7C88" w:rsidRDefault="00412154" w:rsidP="00DE0BDD">
      <w:pPr>
        <w:rPr>
          <w:b/>
          <w:bCs/>
          <w:lang w:val="en-GB"/>
        </w:rPr>
      </w:pPr>
      <w:r w:rsidRPr="00AC7C88">
        <w:rPr>
          <w:b/>
          <w:bCs/>
          <w:lang w:val="en-GB"/>
        </w:rPr>
        <w:t xml:space="preserve">Proposal 3: The time difference between the source and target cell is </w:t>
      </w:r>
      <w:r w:rsidR="005A1D50">
        <w:rPr>
          <w:b/>
          <w:bCs/>
          <w:lang w:val="en-GB"/>
        </w:rPr>
        <w:t>should be</w:t>
      </w:r>
      <w:r w:rsidRPr="00AC7C88">
        <w:rPr>
          <w:b/>
          <w:bCs/>
          <w:lang w:val="en-GB"/>
        </w:rPr>
        <w:t xml:space="preserve"> included in T</w:t>
      </w:r>
      <w:r w:rsidRPr="00AC7C88">
        <w:rPr>
          <w:b/>
          <w:bCs/>
          <w:vertAlign w:val="subscript"/>
          <w:lang w:val="en-GB"/>
        </w:rPr>
        <w:t>measure</w:t>
      </w:r>
      <w:r w:rsidR="000F307D" w:rsidRPr="00AC7C88">
        <w:rPr>
          <w:b/>
          <w:bCs/>
          <w:lang w:val="en-GB"/>
        </w:rPr>
        <w:t>.</w:t>
      </w:r>
    </w:p>
    <w:p w14:paraId="2E4FE9B1" w14:textId="5D0B2B22" w:rsidR="00AC7C88" w:rsidRDefault="00AC7C88" w:rsidP="00DE0BDD">
      <w:pPr>
        <w:rPr>
          <w:lang w:val="en-GB"/>
        </w:rPr>
      </w:pPr>
      <w:r w:rsidRPr="00AC7C88">
        <w:rPr>
          <w:rFonts w:eastAsia="MS Mincho"/>
          <w:b/>
          <w:bCs/>
        </w:rPr>
        <w:t>Proposal 4: Wait for RAN2 decision on how to handle CHO failures.</w:t>
      </w:r>
    </w:p>
    <w:p w14:paraId="19FC2F12" w14:textId="4405AB41" w:rsidR="003B659E" w:rsidRPr="001F4F60" w:rsidRDefault="003B659E" w:rsidP="001F4F60">
      <w:pPr>
        <w:pStyle w:val="RAN4H1"/>
      </w:pPr>
      <w:r w:rsidRPr="0095295C">
        <w:t>References</w:t>
      </w:r>
    </w:p>
    <w:p w14:paraId="3414EE64" w14:textId="43B9E2EA"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hyperlink r:id="rId14" w:history="1">
        <w:r w:rsidR="00FE7159" w:rsidRPr="00513652">
          <w:rPr>
            <w:rStyle w:val="Hyperlink"/>
            <w:sz w:val="18"/>
            <w:lang w:eastAsia="zh-CN"/>
          </w:rPr>
          <w:t>R4-22</w:t>
        </w:r>
        <w:r w:rsidR="00077E74" w:rsidRPr="00513652">
          <w:rPr>
            <w:rStyle w:val="Hyperlink"/>
            <w:sz w:val="18"/>
            <w:lang w:eastAsia="zh-CN"/>
          </w:rPr>
          <w:t>02637</w:t>
        </w:r>
      </w:hyperlink>
      <w:r w:rsidR="008A7A5E">
        <w:rPr>
          <w:sz w:val="18"/>
          <w:lang w:eastAsia="zh-CN"/>
        </w:rPr>
        <w:t>,</w:t>
      </w:r>
      <w:r w:rsidR="007E12E1">
        <w:rPr>
          <w:sz w:val="18"/>
          <w:lang w:eastAsia="zh-CN"/>
        </w:rPr>
        <w:t xml:space="preserve"> </w:t>
      </w:r>
      <w:r w:rsidR="00077E74" w:rsidRPr="00077E74">
        <w:rPr>
          <w:sz w:val="18"/>
          <w:lang w:eastAsia="zh-CN"/>
        </w:rPr>
        <w:t>WF on NR NTN RRM requirements</w:t>
      </w:r>
      <w:r w:rsidR="007E12E1">
        <w:rPr>
          <w:sz w:val="18"/>
          <w:lang w:eastAsia="zh-CN"/>
        </w:rPr>
        <w:t xml:space="preserve">, </w:t>
      </w:r>
      <w:r w:rsidR="00077E74">
        <w:rPr>
          <w:sz w:val="18"/>
          <w:lang w:eastAsia="zh-CN"/>
        </w:rPr>
        <w:t>Qualcomm</w:t>
      </w:r>
      <w:r w:rsidR="00D84758">
        <w:rPr>
          <w:sz w:val="18"/>
          <w:lang w:eastAsia="zh-CN"/>
        </w:rPr>
        <w:t>.</w:t>
      </w:r>
    </w:p>
    <w:p w14:paraId="7EB9540D" w14:textId="26D6AA29" w:rsidR="00265AE7" w:rsidRPr="00265AE7" w:rsidRDefault="00265AE7" w:rsidP="00265AE7">
      <w:pPr>
        <w:rPr>
          <w:sz w:val="18"/>
          <w:szCs w:val="18"/>
          <w:lang w:eastAsia="ja-JP"/>
        </w:rPr>
      </w:pPr>
      <w:r w:rsidRPr="00265AE7">
        <w:rPr>
          <w:sz w:val="18"/>
          <w:szCs w:val="18"/>
          <w:lang w:eastAsia="ja-JP"/>
        </w:rPr>
        <w:t xml:space="preserve">[2] </w:t>
      </w:r>
      <w:hyperlink r:id="rId15" w:history="1">
        <w:r w:rsidRPr="00593A4D">
          <w:rPr>
            <w:rStyle w:val="Hyperlink"/>
            <w:sz w:val="18"/>
            <w:szCs w:val="18"/>
            <w:lang w:eastAsia="ja-JP"/>
          </w:rPr>
          <w:t>TS38.1</w:t>
        </w:r>
        <w:r w:rsidR="00B83637" w:rsidRPr="00593A4D">
          <w:rPr>
            <w:rStyle w:val="Hyperlink"/>
            <w:sz w:val="18"/>
            <w:szCs w:val="18"/>
            <w:lang w:eastAsia="ja-JP"/>
          </w:rPr>
          <w:t>33</w:t>
        </w:r>
      </w:hyperlink>
      <w:r w:rsidR="000653E3">
        <w:rPr>
          <w:sz w:val="18"/>
          <w:szCs w:val="18"/>
          <w:lang w:eastAsia="ja-JP"/>
        </w:rPr>
        <w:t xml:space="preserve">, </w:t>
      </w:r>
      <w:r w:rsidR="00224E87">
        <w:rPr>
          <w:sz w:val="18"/>
          <w:szCs w:val="18"/>
          <w:lang w:eastAsia="ja-JP"/>
        </w:rPr>
        <w:t xml:space="preserve">NR; </w:t>
      </w:r>
      <w:r w:rsidR="000653E3" w:rsidRPr="000653E3">
        <w:rPr>
          <w:sz w:val="18"/>
          <w:szCs w:val="18"/>
          <w:lang w:eastAsia="ja-JP"/>
        </w:rPr>
        <w:t>Requirements for support of radio resource management</w:t>
      </w:r>
      <w:r w:rsidR="000653E3">
        <w:rPr>
          <w:sz w:val="18"/>
          <w:szCs w:val="18"/>
          <w:lang w:eastAsia="ja-JP"/>
        </w:rPr>
        <w:t xml:space="preserve"> (Release 17)</w:t>
      </w:r>
      <w:r w:rsidR="00C171C5">
        <w:rPr>
          <w:sz w:val="18"/>
          <w:szCs w:val="18"/>
          <w:lang w:eastAsia="ja-JP"/>
        </w:rPr>
        <w:t xml:space="preserve">, </w:t>
      </w:r>
      <w:r w:rsidR="00A40B2F">
        <w:rPr>
          <w:sz w:val="18"/>
          <w:szCs w:val="18"/>
          <w:lang w:eastAsia="ja-JP"/>
        </w:rPr>
        <w:t xml:space="preserve">V17.4.0, </w:t>
      </w:r>
      <w:r w:rsidR="0037157E">
        <w:rPr>
          <w:sz w:val="18"/>
          <w:szCs w:val="18"/>
          <w:lang w:eastAsia="ja-JP"/>
        </w:rPr>
        <w:t>January</w:t>
      </w:r>
      <w:r w:rsidR="00C171C5">
        <w:rPr>
          <w:sz w:val="18"/>
          <w:szCs w:val="18"/>
          <w:lang w:eastAsia="ja-JP"/>
        </w:rPr>
        <w:t xml:space="preserve"> 202</w:t>
      </w:r>
      <w:r w:rsidR="0037157E">
        <w:rPr>
          <w:sz w:val="18"/>
          <w:szCs w:val="18"/>
          <w:lang w:eastAsia="ja-JP"/>
        </w:rPr>
        <w:t>2</w:t>
      </w:r>
      <w:r w:rsidR="00C171C5">
        <w:rPr>
          <w:sz w:val="18"/>
          <w:szCs w:val="18"/>
          <w:lang w:eastAsia="ja-JP"/>
        </w:rPr>
        <w:t>.</w:t>
      </w:r>
    </w:p>
    <w:p w14:paraId="26DA635F" w14:textId="1CA04022" w:rsidR="00265AE7" w:rsidRPr="00265AE7" w:rsidRDefault="00265AE7" w:rsidP="00265AE7">
      <w:pPr>
        <w:rPr>
          <w:sz w:val="18"/>
          <w:szCs w:val="18"/>
          <w:lang w:eastAsia="ja-JP"/>
        </w:rPr>
      </w:pPr>
      <w:r w:rsidRPr="00265AE7">
        <w:rPr>
          <w:sz w:val="18"/>
          <w:szCs w:val="18"/>
          <w:lang w:eastAsia="ja-JP"/>
        </w:rPr>
        <w:t xml:space="preserve">[3] </w:t>
      </w:r>
      <w:hyperlink r:id="rId16" w:history="1">
        <w:r w:rsidRPr="00B97635">
          <w:rPr>
            <w:rStyle w:val="Hyperlink"/>
            <w:sz w:val="18"/>
            <w:szCs w:val="18"/>
            <w:lang w:eastAsia="ja-JP"/>
          </w:rPr>
          <w:t>TS38.33</w:t>
        </w:r>
        <w:r w:rsidR="00B83637" w:rsidRPr="00B97635">
          <w:rPr>
            <w:rStyle w:val="Hyperlink"/>
            <w:sz w:val="18"/>
            <w:szCs w:val="18"/>
            <w:lang w:eastAsia="ja-JP"/>
          </w:rPr>
          <w:t>1</w:t>
        </w:r>
      </w:hyperlink>
      <w:r w:rsidR="003F790D">
        <w:rPr>
          <w:sz w:val="18"/>
          <w:szCs w:val="18"/>
          <w:lang w:eastAsia="ja-JP"/>
        </w:rPr>
        <w:t xml:space="preserve">, </w:t>
      </w:r>
      <w:r w:rsidR="0037157E">
        <w:rPr>
          <w:sz w:val="18"/>
          <w:szCs w:val="18"/>
          <w:lang w:eastAsia="ja-JP"/>
        </w:rPr>
        <w:t xml:space="preserve">NR; </w:t>
      </w:r>
      <w:r w:rsidR="003F790D" w:rsidRPr="003F790D">
        <w:rPr>
          <w:sz w:val="18"/>
          <w:szCs w:val="18"/>
          <w:lang w:eastAsia="ja-JP"/>
        </w:rPr>
        <w:t>Radio Resource Control (RRC) protocol specification</w:t>
      </w:r>
      <w:r w:rsidR="003F790D">
        <w:rPr>
          <w:sz w:val="18"/>
          <w:szCs w:val="18"/>
          <w:lang w:eastAsia="ja-JP"/>
        </w:rPr>
        <w:t xml:space="preserve"> (Release </w:t>
      </w:r>
      <w:r w:rsidR="0037157E">
        <w:rPr>
          <w:sz w:val="18"/>
          <w:szCs w:val="18"/>
          <w:lang w:eastAsia="ja-JP"/>
        </w:rPr>
        <w:t xml:space="preserve">15), </w:t>
      </w:r>
      <w:r w:rsidR="00C4008B">
        <w:rPr>
          <w:sz w:val="18"/>
          <w:szCs w:val="18"/>
          <w:lang w:eastAsia="ja-JP"/>
        </w:rPr>
        <w:t>V16.7.0, December 2021</w:t>
      </w:r>
      <w:r w:rsidR="00B97635">
        <w:rPr>
          <w:sz w:val="18"/>
          <w:szCs w:val="18"/>
          <w:lang w:eastAsia="ja-JP"/>
        </w:rPr>
        <w:t>.</w:t>
      </w:r>
    </w:p>
    <w:p w14:paraId="37FADF7C" w14:textId="47DA7D83" w:rsidR="006049BE" w:rsidRDefault="00265AE7" w:rsidP="00265AE7">
      <w:pPr>
        <w:rPr>
          <w:sz w:val="18"/>
          <w:lang w:eastAsia="zh-CN"/>
        </w:rPr>
      </w:pPr>
      <w:r w:rsidRPr="00265AE7">
        <w:rPr>
          <w:sz w:val="18"/>
          <w:szCs w:val="18"/>
          <w:lang w:eastAsia="ja-JP"/>
        </w:rPr>
        <w:t xml:space="preserve">[4] </w:t>
      </w:r>
      <w:hyperlink r:id="rId17" w:history="1">
        <w:r w:rsidRPr="00CB6D03">
          <w:rPr>
            <w:rFonts w:eastAsia="Times New Roman"/>
            <w:color w:val="0000FF"/>
            <w:sz w:val="18"/>
            <w:szCs w:val="18"/>
            <w:u w:val="single"/>
          </w:rPr>
          <w:t>R4-2200892</w:t>
        </w:r>
      </w:hyperlink>
      <w:r w:rsidR="00736A0C" w:rsidRPr="00CB6D03">
        <w:rPr>
          <w:sz w:val="18"/>
          <w:szCs w:val="18"/>
          <w:lang w:eastAsia="zh-CN"/>
        </w:rPr>
        <w:t xml:space="preserve">, </w:t>
      </w:r>
      <w:r w:rsidR="00736A0C" w:rsidRPr="00736A0C">
        <w:rPr>
          <w:sz w:val="18"/>
          <w:lang w:eastAsia="zh-CN"/>
        </w:rPr>
        <w:t>Mobility requirements for NTN</w:t>
      </w:r>
      <w:r w:rsidR="00736A0C">
        <w:rPr>
          <w:sz w:val="18"/>
          <w:lang w:eastAsia="zh-CN"/>
        </w:rPr>
        <w:t>, Ericsson</w:t>
      </w:r>
      <w:r w:rsidR="00D84758">
        <w:rPr>
          <w:sz w:val="18"/>
          <w:lang w:eastAsia="zh-CN"/>
        </w:rPr>
        <w:t>.</w:t>
      </w: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D09A1" w14:textId="77777777" w:rsidR="00166FEC" w:rsidRDefault="00166FEC" w:rsidP="00001C9B">
      <w:pPr>
        <w:spacing w:after="0" w:line="240" w:lineRule="auto"/>
      </w:pPr>
      <w:r>
        <w:separator/>
      </w:r>
    </w:p>
  </w:endnote>
  <w:endnote w:type="continuationSeparator" w:id="0">
    <w:p w14:paraId="6094526E" w14:textId="77777777" w:rsidR="00166FEC" w:rsidRDefault="00166FEC" w:rsidP="00001C9B">
      <w:pPr>
        <w:spacing w:after="0" w:line="240" w:lineRule="auto"/>
      </w:pPr>
      <w:r>
        <w:continuationSeparator/>
      </w:r>
    </w:p>
  </w:endnote>
  <w:endnote w:type="continuationNotice" w:id="1">
    <w:p w14:paraId="52758CE3" w14:textId="77777777" w:rsidR="00166FEC" w:rsidRDefault="00166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FDE42" w14:textId="77777777" w:rsidR="00166FEC" w:rsidRDefault="00166FEC" w:rsidP="00001C9B">
      <w:pPr>
        <w:spacing w:after="0" w:line="240" w:lineRule="auto"/>
      </w:pPr>
      <w:r>
        <w:separator/>
      </w:r>
    </w:p>
  </w:footnote>
  <w:footnote w:type="continuationSeparator" w:id="0">
    <w:p w14:paraId="573B6831" w14:textId="77777777" w:rsidR="00166FEC" w:rsidRDefault="00166FEC" w:rsidP="00001C9B">
      <w:pPr>
        <w:spacing w:after="0" w:line="240" w:lineRule="auto"/>
      </w:pPr>
      <w:r>
        <w:continuationSeparator/>
      </w:r>
    </w:p>
  </w:footnote>
  <w:footnote w:type="continuationNotice" w:id="1">
    <w:p w14:paraId="64B77D05" w14:textId="77777777" w:rsidR="00166FEC" w:rsidRDefault="00166F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BD4720B"/>
    <w:multiLevelType w:val="hybridMultilevel"/>
    <w:tmpl w:val="E70C4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8"/>
  </w:num>
  <w:num w:numId="8">
    <w:abstractNumId w:val="3"/>
  </w:num>
  <w:num w:numId="9">
    <w:abstractNumId w:val="3"/>
    <w:lvlOverride w:ilvl="0">
      <w:startOverride w:val="2"/>
    </w:lvlOverride>
  </w:num>
  <w:num w:numId="10">
    <w:abstractNumId w:val="3"/>
    <w:lvlOverride w:ilvl="0">
      <w:startOverride w:val="1"/>
    </w:lvlOverride>
  </w:num>
  <w:num w:numId="11">
    <w:abstractNumId w:val="1"/>
  </w:num>
  <w:num w:numId="12">
    <w:abstractNumId w:val="3"/>
    <w:lvlOverride w:ilvl="0">
      <w:startOverride w:val="1"/>
    </w:lvlOverride>
  </w:num>
  <w:num w:numId="13">
    <w:abstractNumId w:val="5"/>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E12"/>
    <w:rsid w:val="00020C6D"/>
    <w:rsid w:val="00021AE0"/>
    <w:rsid w:val="00021D00"/>
    <w:rsid w:val="000221BD"/>
    <w:rsid w:val="0002235A"/>
    <w:rsid w:val="00022423"/>
    <w:rsid w:val="0002242B"/>
    <w:rsid w:val="00022B90"/>
    <w:rsid w:val="000238B8"/>
    <w:rsid w:val="00027CBD"/>
    <w:rsid w:val="00030330"/>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33DC"/>
    <w:rsid w:val="00053B21"/>
    <w:rsid w:val="00053B52"/>
    <w:rsid w:val="00054BD5"/>
    <w:rsid w:val="00054E11"/>
    <w:rsid w:val="000554E5"/>
    <w:rsid w:val="0005585D"/>
    <w:rsid w:val="00055A12"/>
    <w:rsid w:val="000566DD"/>
    <w:rsid w:val="00060BEF"/>
    <w:rsid w:val="000612AB"/>
    <w:rsid w:val="00062B40"/>
    <w:rsid w:val="00064E6B"/>
    <w:rsid w:val="000653E3"/>
    <w:rsid w:val="0006635F"/>
    <w:rsid w:val="0006643C"/>
    <w:rsid w:val="00066488"/>
    <w:rsid w:val="00066C9D"/>
    <w:rsid w:val="000704E1"/>
    <w:rsid w:val="00070AF5"/>
    <w:rsid w:val="0007206E"/>
    <w:rsid w:val="00073805"/>
    <w:rsid w:val="00073A97"/>
    <w:rsid w:val="00073B2D"/>
    <w:rsid w:val="0007544C"/>
    <w:rsid w:val="00075DAD"/>
    <w:rsid w:val="00075FC9"/>
    <w:rsid w:val="00076579"/>
    <w:rsid w:val="00077145"/>
    <w:rsid w:val="00077913"/>
    <w:rsid w:val="00077A09"/>
    <w:rsid w:val="00077D5A"/>
    <w:rsid w:val="00077E74"/>
    <w:rsid w:val="00080458"/>
    <w:rsid w:val="0008092C"/>
    <w:rsid w:val="00080BD8"/>
    <w:rsid w:val="00082DFF"/>
    <w:rsid w:val="00083103"/>
    <w:rsid w:val="000846C5"/>
    <w:rsid w:val="0008478C"/>
    <w:rsid w:val="0008549D"/>
    <w:rsid w:val="00085A7A"/>
    <w:rsid w:val="0008612A"/>
    <w:rsid w:val="00086A47"/>
    <w:rsid w:val="00087CF3"/>
    <w:rsid w:val="000900B1"/>
    <w:rsid w:val="0009013C"/>
    <w:rsid w:val="00090479"/>
    <w:rsid w:val="000909FB"/>
    <w:rsid w:val="00090BD0"/>
    <w:rsid w:val="00091655"/>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1475"/>
    <w:rsid w:val="000E38BD"/>
    <w:rsid w:val="000E4011"/>
    <w:rsid w:val="000E43C1"/>
    <w:rsid w:val="000E5581"/>
    <w:rsid w:val="000E6E49"/>
    <w:rsid w:val="000E7DFF"/>
    <w:rsid w:val="000F1479"/>
    <w:rsid w:val="000F1BCA"/>
    <w:rsid w:val="000F25FC"/>
    <w:rsid w:val="000F2D8F"/>
    <w:rsid w:val="000F307D"/>
    <w:rsid w:val="000F3E54"/>
    <w:rsid w:val="000F48CE"/>
    <w:rsid w:val="000F7351"/>
    <w:rsid w:val="000F7E36"/>
    <w:rsid w:val="00100653"/>
    <w:rsid w:val="001006D0"/>
    <w:rsid w:val="00100C24"/>
    <w:rsid w:val="0010210D"/>
    <w:rsid w:val="001022FF"/>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034C"/>
    <w:rsid w:val="00131B03"/>
    <w:rsid w:val="00131ECB"/>
    <w:rsid w:val="00132240"/>
    <w:rsid w:val="00132573"/>
    <w:rsid w:val="0013335D"/>
    <w:rsid w:val="00133BDD"/>
    <w:rsid w:val="0013771F"/>
    <w:rsid w:val="00137928"/>
    <w:rsid w:val="00137ECD"/>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FEC"/>
    <w:rsid w:val="001707BB"/>
    <w:rsid w:val="001723C7"/>
    <w:rsid w:val="00172DFD"/>
    <w:rsid w:val="001737AF"/>
    <w:rsid w:val="001745F8"/>
    <w:rsid w:val="001750CF"/>
    <w:rsid w:val="00175330"/>
    <w:rsid w:val="00175616"/>
    <w:rsid w:val="00175B47"/>
    <w:rsid w:val="00176671"/>
    <w:rsid w:val="00176680"/>
    <w:rsid w:val="00177C25"/>
    <w:rsid w:val="00181325"/>
    <w:rsid w:val="00182A04"/>
    <w:rsid w:val="001837FF"/>
    <w:rsid w:val="001838CF"/>
    <w:rsid w:val="00183913"/>
    <w:rsid w:val="00183E72"/>
    <w:rsid w:val="0018465E"/>
    <w:rsid w:val="0018505A"/>
    <w:rsid w:val="001861C0"/>
    <w:rsid w:val="001915CC"/>
    <w:rsid w:val="00191BBF"/>
    <w:rsid w:val="0019236A"/>
    <w:rsid w:val="0019273E"/>
    <w:rsid w:val="00194798"/>
    <w:rsid w:val="0019686C"/>
    <w:rsid w:val="00197EBC"/>
    <w:rsid w:val="001A02FE"/>
    <w:rsid w:val="001A1F88"/>
    <w:rsid w:val="001A2797"/>
    <w:rsid w:val="001A27EA"/>
    <w:rsid w:val="001A2FB7"/>
    <w:rsid w:val="001A4FF3"/>
    <w:rsid w:val="001A6EF9"/>
    <w:rsid w:val="001A75A6"/>
    <w:rsid w:val="001A782F"/>
    <w:rsid w:val="001A7D5E"/>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D0CB7"/>
    <w:rsid w:val="001D0D0E"/>
    <w:rsid w:val="001D19CF"/>
    <w:rsid w:val="001D1EE4"/>
    <w:rsid w:val="001D2822"/>
    <w:rsid w:val="001D3074"/>
    <w:rsid w:val="001D30C5"/>
    <w:rsid w:val="001D3E3E"/>
    <w:rsid w:val="001D4C4F"/>
    <w:rsid w:val="001D55B7"/>
    <w:rsid w:val="001D572A"/>
    <w:rsid w:val="001D618D"/>
    <w:rsid w:val="001D643B"/>
    <w:rsid w:val="001E147C"/>
    <w:rsid w:val="001E19F2"/>
    <w:rsid w:val="001E2239"/>
    <w:rsid w:val="001E30F6"/>
    <w:rsid w:val="001E4068"/>
    <w:rsid w:val="001E4614"/>
    <w:rsid w:val="001E72EC"/>
    <w:rsid w:val="001E7E6F"/>
    <w:rsid w:val="001F009B"/>
    <w:rsid w:val="001F2A59"/>
    <w:rsid w:val="001F3887"/>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4880"/>
    <w:rsid w:val="00205AB6"/>
    <w:rsid w:val="0020651D"/>
    <w:rsid w:val="00210103"/>
    <w:rsid w:val="002108D2"/>
    <w:rsid w:val="00211E11"/>
    <w:rsid w:val="00212B19"/>
    <w:rsid w:val="0021396F"/>
    <w:rsid w:val="00213EC2"/>
    <w:rsid w:val="0021512E"/>
    <w:rsid w:val="0021562C"/>
    <w:rsid w:val="00217598"/>
    <w:rsid w:val="002207F9"/>
    <w:rsid w:val="0022276C"/>
    <w:rsid w:val="0022430D"/>
    <w:rsid w:val="00224E87"/>
    <w:rsid w:val="0022508C"/>
    <w:rsid w:val="002250E3"/>
    <w:rsid w:val="002265F9"/>
    <w:rsid w:val="00227047"/>
    <w:rsid w:val="002270FC"/>
    <w:rsid w:val="0023207B"/>
    <w:rsid w:val="0023371F"/>
    <w:rsid w:val="002337C0"/>
    <w:rsid w:val="00233B90"/>
    <w:rsid w:val="00235F5C"/>
    <w:rsid w:val="00236D67"/>
    <w:rsid w:val="00237147"/>
    <w:rsid w:val="002374ED"/>
    <w:rsid w:val="00237CF3"/>
    <w:rsid w:val="00237EA5"/>
    <w:rsid w:val="00241026"/>
    <w:rsid w:val="002417F6"/>
    <w:rsid w:val="00242B07"/>
    <w:rsid w:val="002435FA"/>
    <w:rsid w:val="00244AC7"/>
    <w:rsid w:val="00245556"/>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687"/>
    <w:rsid w:val="00256D65"/>
    <w:rsid w:val="00257252"/>
    <w:rsid w:val="002576B5"/>
    <w:rsid w:val="00257A03"/>
    <w:rsid w:val="00257E05"/>
    <w:rsid w:val="00263949"/>
    <w:rsid w:val="00264B14"/>
    <w:rsid w:val="00265AE7"/>
    <w:rsid w:val="00265AEB"/>
    <w:rsid w:val="00267C2C"/>
    <w:rsid w:val="00270223"/>
    <w:rsid w:val="002705C3"/>
    <w:rsid w:val="00271B17"/>
    <w:rsid w:val="00272370"/>
    <w:rsid w:val="00272E3D"/>
    <w:rsid w:val="00273A19"/>
    <w:rsid w:val="00274F97"/>
    <w:rsid w:val="0027595E"/>
    <w:rsid w:val="002816FD"/>
    <w:rsid w:val="00281EF6"/>
    <w:rsid w:val="002827B4"/>
    <w:rsid w:val="00282D48"/>
    <w:rsid w:val="00282DD0"/>
    <w:rsid w:val="00283179"/>
    <w:rsid w:val="002833C2"/>
    <w:rsid w:val="00283F15"/>
    <w:rsid w:val="00284947"/>
    <w:rsid w:val="002852F5"/>
    <w:rsid w:val="00285EC1"/>
    <w:rsid w:val="00286041"/>
    <w:rsid w:val="00286F5D"/>
    <w:rsid w:val="00287466"/>
    <w:rsid w:val="00287D09"/>
    <w:rsid w:val="00290538"/>
    <w:rsid w:val="002915F6"/>
    <w:rsid w:val="00292A10"/>
    <w:rsid w:val="00292BAC"/>
    <w:rsid w:val="0029338A"/>
    <w:rsid w:val="002933D5"/>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9AC"/>
    <w:rsid w:val="002E3B12"/>
    <w:rsid w:val="002E576A"/>
    <w:rsid w:val="002E5EF2"/>
    <w:rsid w:val="002E689F"/>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102D1"/>
    <w:rsid w:val="00310F94"/>
    <w:rsid w:val="00311AFA"/>
    <w:rsid w:val="00311C75"/>
    <w:rsid w:val="00314376"/>
    <w:rsid w:val="0031475F"/>
    <w:rsid w:val="00315386"/>
    <w:rsid w:val="00315456"/>
    <w:rsid w:val="00315D17"/>
    <w:rsid w:val="00315F58"/>
    <w:rsid w:val="00316B75"/>
    <w:rsid w:val="00317786"/>
    <w:rsid w:val="00317C54"/>
    <w:rsid w:val="00317D28"/>
    <w:rsid w:val="00320DC6"/>
    <w:rsid w:val="0032279C"/>
    <w:rsid w:val="00322D1F"/>
    <w:rsid w:val="0032321A"/>
    <w:rsid w:val="00324BDC"/>
    <w:rsid w:val="00324F5D"/>
    <w:rsid w:val="00324FB5"/>
    <w:rsid w:val="00327813"/>
    <w:rsid w:val="003308CC"/>
    <w:rsid w:val="00330A6E"/>
    <w:rsid w:val="00330FA4"/>
    <w:rsid w:val="00331161"/>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F25"/>
    <w:rsid w:val="00370A88"/>
    <w:rsid w:val="00370A8A"/>
    <w:rsid w:val="0037157E"/>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52B9"/>
    <w:rsid w:val="00396575"/>
    <w:rsid w:val="003966B5"/>
    <w:rsid w:val="00396C60"/>
    <w:rsid w:val="00396CDD"/>
    <w:rsid w:val="00397E13"/>
    <w:rsid w:val="003A1663"/>
    <w:rsid w:val="003A32BE"/>
    <w:rsid w:val="003A3368"/>
    <w:rsid w:val="003A3E07"/>
    <w:rsid w:val="003A5508"/>
    <w:rsid w:val="003A5DC8"/>
    <w:rsid w:val="003A7E7F"/>
    <w:rsid w:val="003B15D5"/>
    <w:rsid w:val="003B2024"/>
    <w:rsid w:val="003B2843"/>
    <w:rsid w:val="003B3A9C"/>
    <w:rsid w:val="003B5A6C"/>
    <w:rsid w:val="003B659E"/>
    <w:rsid w:val="003B68A1"/>
    <w:rsid w:val="003B6BB4"/>
    <w:rsid w:val="003B6CA8"/>
    <w:rsid w:val="003B7E3E"/>
    <w:rsid w:val="003C1414"/>
    <w:rsid w:val="003C1B2A"/>
    <w:rsid w:val="003C2E69"/>
    <w:rsid w:val="003C3AA1"/>
    <w:rsid w:val="003C3B53"/>
    <w:rsid w:val="003C3F2E"/>
    <w:rsid w:val="003C511B"/>
    <w:rsid w:val="003C64DD"/>
    <w:rsid w:val="003C704E"/>
    <w:rsid w:val="003C7AE8"/>
    <w:rsid w:val="003D08F7"/>
    <w:rsid w:val="003D24B0"/>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435"/>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3F790D"/>
    <w:rsid w:val="004001E5"/>
    <w:rsid w:val="00400491"/>
    <w:rsid w:val="00400D69"/>
    <w:rsid w:val="004015B1"/>
    <w:rsid w:val="00402896"/>
    <w:rsid w:val="00403431"/>
    <w:rsid w:val="00403627"/>
    <w:rsid w:val="00403E4F"/>
    <w:rsid w:val="004042E7"/>
    <w:rsid w:val="00404315"/>
    <w:rsid w:val="0040586A"/>
    <w:rsid w:val="00405F93"/>
    <w:rsid w:val="004061B9"/>
    <w:rsid w:val="004068D4"/>
    <w:rsid w:val="00407693"/>
    <w:rsid w:val="0040773E"/>
    <w:rsid w:val="00407813"/>
    <w:rsid w:val="00407BD6"/>
    <w:rsid w:val="00410483"/>
    <w:rsid w:val="0041187B"/>
    <w:rsid w:val="00411D0F"/>
    <w:rsid w:val="00411D28"/>
    <w:rsid w:val="00412154"/>
    <w:rsid w:val="0041366A"/>
    <w:rsid w:val="0041438C"/>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A79"/>
    <w:rsid w:val="00433598"/>
    <w:rsid w:val="00433735"/>
    <w:rsid w:val="00433BED"/>
    <w:rsid w:val="004356D0"/>
    <w:rsid w:val="004373C0"/>
    <w:rsid w:val="0043750A"/>
    <w:rsid w:val="00437C47"/>
    <w:rsid w:val="004400EE"/>
    <w:rsid w:val="0044080A"/>
    <w:rsid w:val="00443969"/>
    <w:rsid w:val="0044403A"/>
    <w:rsid w:val="00444578"/>
    <w:rsid w:val="00445009"/>
    <w:rsid w:val="00446E8D"/>
    <w:rsid w:val="00446F1B"/>
    <w:rsid w:val="00446FE8"/>
    <w:rsid w:val="004503CC"/>
    <w:rsid w:val="004505FD"/>
    <w:rsid w:val="00450F60"/>
    <w:rsid w:val="00452686"/>
    <w:rsid w:val="00455884"/>
    <w:rsid w:val="00455B32"/>
    <w:rsid w:val="00455C20"/>
    <w:rsid w:val="00455F20"/>
    <w:rsid w:val="00456BD0"/>
    <w:rsid w:val="00457379"/>
    <w:rsid w:val="0045751E"/>
    <w:rsid w:val="00460577"/>
    <w:rsid w:val="004605BD"/>
    <w:rsid w:val="00460BDE"/>
    <w:rsid w:val="00460D51"/>
    <w:rsid w:val="00460DED"/>
    <w:rsid w:val="00462544"/>
    <w:rsid w:val="00462E1F"/>
    <w:rsid w:val="00464A80"/>
    <w:rsid w:val="00464D94"/>
    <w:rsid w:val="004654E2"/>
    <w:rsid w:val="004659CA"/>
    <w:rsid w:val="0046635B"/>
    <w:rsid w:val="00466F0F"/>
    <w:rsid w:val="004674A0"/>
    <w:rsid w:val="00471381"/>
    <w:rsid w:val="00471BD7"/>
    <w:rsid w:val="00472A7E"/>
    <w:rsid w:val="00473BD2"/>
    <w:rsid w:val="00473FE1"/>
    <w:rsid w:val="00475232"/>
    <w:rsid w:val="0047573F"/>
    <w:rsid w:val="004767BD"/>
    <w:rsid w:val="00476B85"/>
    <w:rsid w:val="00476CAD"/>
    <w:rsid w:val="00480F5B"/>
    <w:rsid w:val="00481A3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26EB"/>
    <w:rsid w:val="0049310E"/>
    <w:rsid w:val="00494A89"/>
    <w:rsid w:val="00495E6A"/>
    <w:rsid w:val="00496D13"/>
    <w:rsid w:val="00497398"/>
    <w:rsid w:val="004A09DD"/>
    <w:rsid w:val="004A14B8"/>
    <w:rsid w:val="004A18E6"/>
    <w:rsid w:val="004A2714"/>
    <w:rsid w:val="004A2853"/>
    <w:rsid w:val="004A3FAF"/>
    <w:rsid w:val="004A4402"/>
    <w:rsid w:val="004A5394"/>
    <w:rsid w:val="004B0193"/>
    <w:rsid w:val="004B08E1"/>
    <w:rsid w:val="004B0A2B"/>
    <w:rsid w:val="004B1BDA"/>
    <w:rsid w:val="004B4474"/>
    <w:rsid w:val="004B46CB"/>
    <w:rsid w:val="004B5246"/>
    <w:rsid w:val="004B5EAD"/>
    <w:rsid w:val="004B7716"/>
    <w:rsid w:val="004B7B4A"/>
    <w:rsid w:val="004C00D2"/>
    <w:rsid w:val="004C0B13"/>
    <w:rsid w:val="004C26D2"/>
    <w:rsid w:val="004C2A20"/>
    <w:rsid w:val="004C4509"/>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6A65"/>
    <w:rsid w:val="00506D48"/>
    <w:rsid w:val="00506D9E"/>
    <w:rsid w:val="00507379"/>
    <w:rsid w:val="00510471"/>
    <w:rsid w:val="00511A46"/>
    <w:rsid w:val="00512BF0"/>
    <w:rsid w:val="005133A4"/>
    <w:rsid w:val="00513652"/>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5D0F"/>
    <w:rsid w:val="00535D92"/>
    <w:rsid w:val="0053681E"/>
    <w:rsid w:val="00537C22"/>
    <w:rsid w:val="00537FD7"/>
    <w:rsid w:val="00540939"/>
    <w:rsid w:val="00540C35"/>
    <w:rsid w:val="005424F0"/>
    <w:rsid w:val="0054295D"/>
    <w:rsid w:val="0054442C"/>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4A6C"/>
    <w:rsid w:val="0056520B"/>
    <w:rsid w:val="0056544A"/>
    <w:rsid w:val="005655B2"/>
    <w:rsid w:val="00566362"/>
    <w:rsid w:val="005663DF"/>
    <w:rsid w:val="005665D3"/>
    <w:rsid w:val="00570C3E"/>
    <w:rsid w:val="005718FF"/>
    <w:rsid w:val="005726A8"/>
    <w:rsid w:val="005728A1"/>
    <w:rsid w:val="005728CE"/>
    <w:rsid w:val="00573DF2"/>
    <w:rsid w:val="00574D08"/>
    <w:rsid w:val="00575298"/>
    <w:rsid w:val="005757E1"/>
    <w:rsid w:val="005763CD"/>
    <w:rsid w:val="005766EE"/>
    <w:rsid w:val="00576C40"/>
    <w:rsid w:val="00577063"/>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3A4D"/>
    <w:rsid w:val="00594AEE"/>
    <w:rsid w:val="00594B94"/>
    <w:rsid w:val="0059593C"/>
    <w:rsid w:val="00595A51"/>
    <w:rsid w:val="00595DAF"/>
    <w:rsid w:val="005962F6"/>
    <w:rsid w:val="00596CEB"/>
    <w:rsid w:val="005A0238"/>
    <w:rsid w:val="005A0FA5"/>
    <w:rsid w:val="005A1D50"/>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563"/>
    <w:rsid w:val="005C39E4"/>
    <w:rsid w:val="005C3E0D"/>
    <w:rsid w:val="005C5180"/>
    <w:rsid w:val="005C52B2"/>
    <w:rsid w:val="005C7D53"/>
    <w:rsid w:val="005D1302"/>
    <w:rsid w:val="005D1622"/>
    <w:rsid w:val="005D3589"/>
    <w:rsid w:val="005D55F5"/>
    <w:rsid w:val="005D74B8"/>
    <w:rsid w:val="005D76B2"/>
    <w:rsid w:val="005E0A9D"/>
    <w:rsid w:val="005E3125"/>
    <w:rsid w:val="005E3237"/>
    <w:rsid w:val="005E4AA8"/>
    <w:rsid w:val="005E61A8"/>
    <w:rsid w:val="005F0134"/>
    <w:rsid w:val="005F1409"/>
    <w:rsid w:val="005F2854"/>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0"/>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D64"/>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492"/>
    <w:rsid w:val="00656961"/>
    <w:rsid w:val="006576B0"/>
    <w:rsid w:val="0065795C"/>
    <w:rsid w:val="00660065"/>
    <w:rsid w:val="00660360"/>
    <w:rsid w:val="00660497"/>
    <w:rsid w:val="006609FF"/>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75BD"/>
    <w:rsid w:val="00687FA0"/>
    <w:rsid w:val="00691B19"/>
    <w:rsid w:val="006944C3"/>
    <w:rsid w:val="006959A1"/>
    <w:rsid w:val="00695CE2"/>
    <w:rsid w:val="006A14D9"/>
    <w:rsid w:val="006A18A0"/>
    <w:rsid w:val="006A26CB"/>
    <w:rsid w:val="006A26ED"/>
    <w:rsid w:val="006A4250"/>
    <w:rsid w:val="006A43FF"/>
    <w:rsid w:val="006A577E"/>
    <w:rsid w:val="006A5AC8"/>
    <w:rsid w:val="006A60F9"/>
    <w:rsid w:val="006B0BFF"/>
    <w:rsid w:val="006B14A1"/>
    <w:rsid w:val="006B1931"/>
    <w:rsid w:val="006B2516"/>
    <w:rsid w:val="006B3F27"/>
    <w:rsid w:val="006B411F"/>
    <w:rsid w:val="006B4B98"/>
    <w:rsid w:val="006B547B"/>
    <w:rsid w:val="006B5D1A"/>
    <w:rsid w:val="006B6D84"/>
    <w:rsid w:val="006B7010"/>
    <w:rsid w:val="006C01CD"/>
    <w:rsid w:val="006C0302"/>
    <w:rsid w:val="006C0505"/>
    <w:rsid w:val="006C0680"/>
    <w:rsid w:val="006C0ECD"/>
    <w:rsid w:val="006C2B3B"/>
    <w:rsid w:val="006C348C"/>
    <w:rsid w:val="006C47E5"/>
    <w:rsid w:val="006C4CCE"/>
    <w:rsid w:val="006C5119"/>
    <w:rsid w:val="006C705D"/>
    <w:rsid w:val="006C707B"/>
    <w:rsid w:val="006C744C"/>
    <w:rsid w:val="006C77E2"/>
    <w:rsid w:val="006C7E3E"/>
    <w:rsid w:val="006D0328"/>
    <w:rsid w:val="006D05ED"/>
    <w:rsid w:val="006D0984"/>
    <w:rsid w:val="006D0D53"/>
    <w:rsid w:val="006D1BF6"/>
    <w:rsid w:val="006D31D5"/>
    <w:rsid w:val="006D3406"/>
    <w:rsid w:val="006D3448"/>
    <w:rsid w:val="006D3FC8"/>
    <w:rsid w:val="006D4525"/>
    <w:rsid w:val="006D5014"/>
    <w:rsid w:val="006D5F9D"/>
    <w:rsid w:val="006D61D6"/>
    <w:rsid w:val="006D685F"/>
    <w:rsid w:val="006E020D"/>
    <w:rsid w:val="006E0942"/>
    <w:rsid w:val="006E0AA5"/>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9C8"/>
    <w:rsid w:val="006F67A2"/>
    <w:rsid w:val="006F7B7D"/>
    <w:rsid w:val="006F7CD8"/>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3A5B"/>
    <w:rsid w:val="00724007"/>
    <w:rsid w:val="00724405"/>
    <w:rsid w:val="007250B1"/>
    <w:rsid w:val="00725B99"/>
    <w:rsid w:val="007307D5"/>
    <w:rsid w:val="00731AC4"/>
    <w:rsid w:val="007339F1"/>
    <w:rsid w:val="00733A4B"/>
    <w:rsid w:val="007341EA"/>
    <w:rsid w:val="00736A0C"/>
    <w:rsid w:val="00737A3A"/>
    <w:rsid w:val="00737DC7"/>
    <w:rsid w:val="00737F57"/>
    <w:rsid w:val="00740AFA"/>
    <w:rsid w:val="007413B5"/>
    <w:rsid w:val="007414CC"/>
    <w:rsid w:val="00742663"/>
    <w:rsid w:val="00743232"/>
    <w:rsid w:val="00744E34"/>
    <w:rsid w:val="00745162"/>
    <w:rsid w:val="0074537D"/>
    <w:rsid w:val="007454E8"/>
    <w:rsid w:val="00745C57"/>
    <w:rsid w:val="0074615A"/>
    <w:rsid w:val="007463DC"/>
    <w:rsid w:val="00746975"/>
    <w:rsid w:val="00747975"/>
    <w:rsid w:val="007479EB"/>
    <w:rsid w:val="00750C36"/>
    <w:rsid w:val="00750D4F"/>
    <w:rsid w:val="007514D2"/>
    <w:rsid w:val="00751515"/>
    <w:rsid w:val="00751AB0"/>
    <w:rsid w:val="00751C62"/>
    <w:rsid w:val="007521A3"/>
    <w:rsid w:val="00753DA5"/>
    <w:rsid w:val="00754DFF"/>
    <w:rsid w:val="007565EE"/>
    <w:rsid w:val="007569B0"/>
    <w:rsid w:val="00756DFE"/>
    <w:rsid w:val="0075762C"/>
    <w:rsid w:val="007577E6"/>
    <w:rsid w:val="007619F7"/>
    <w:rsid w:val="00761B3A"/>
    <w:rsid w:val="00761E0D"/>
    <w:rsid w:val="0076421C"/>
    <w:rsid w:val="00764427"/>
    <w:rsid w:val="007651B8"/>
    <w:rsid w:val="00765C49"/>
    <w:rsid w:val="00765E45"/>
    <w:rsid w:val="007702C8"/>
    <w:rsid w:val="00771D5E"/>
    <w:rsid w:val="00773BE2"/>
    <w:rsid w:val="00773CD5"/>
    <w:rsid w:val="00775586"/>
    <w:rsid w:val="00775EE5"/>
    <w:rsid w:val="00775F01"/>
    <w:rsid w:val="00777B7C"/>
    <w:rsid w:val="00780C55"/>
    <w:rsid w:val="00780D7A"/>
    <w:rsid w:val="007827BB"/>
    <w:rsid w:val="00785176"/>
    <w:rsid w:val="00785232"/>
    <w:rsid w:val="00785E4C"/>
    <w:rsid w:val="007902D6"/>
    <w:rsid w:val="00790800"/>
    <w:rsid w:val="007934DF"/>
    <w:rsid w:val="00793961"/>
    <w:rsid w:val="00793AB8"/>
    <w:rsid w:val="0079652D"/>
    <w:rsid w:val="00796B9D"/>
    <w:rsid w:val="0079786F"/>
    <w:rsid w:val="00797A34"/>
    <w:rsid w:val="007A2A81"/>
    <w:rsid w:val="007A3568"/>
    <w:rsid w:val="007B0000"/>
    <w:rsid w:val="007B0A7E"/>
    <w:rsid w:val="007B0EF1"/>
    <w:rsid w:val="007B29D9"/>
    <w:rsid w:val="007B2FB8"/>
    <w:rsid w:val="007B45F8"/>
    <w:rsid w:val="007B6470"/>
    <w:rsid w:val="007C00C6"/>
    <w:rsid w:val="007C1C66"/>
    <w:rsid w:val="007C3ED0"/>
    <w:rsid w:val="007C42A9"/>
    <w:rsid w:val="007C4BA7"/>
    <w:rsid w:val="007C5B90"/>
    <w:rsid w:val="007C61EB"/>
    <w:rsid w:val="007C6E45"/>
    <w:rsid w:val="007D02F8"/>
    <w:rsid w:val="007D185B"/>
    <w:rsid w:val="007D2858"/>
    <w:rsid w:val="007D76F1"/>
    <w:rsid w:val="007D7AF6"/>
    <w:rsid w:val="007E0044"/>
    <w:rsid w:val="007E00D8"/>
    <w:rsid w:val="007E0F07"/>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7638"/>
    <w:rsid w:val="007F7CFC"/>
    <w:rsid w:val="00800336"/>
    <w:rsid w:val="00801EAD"/>
    <w:rsid w:val="00803AE2"/>
    <w:rsid w:val="00804B9B"/>
    <w:rsid w:val="00804C2B"/>
    <w:rsid w:val="008059BA"/>
    <w:rsid w:val="00806613"/>
    <w:rsid w:val="00806A76"/>
    <w:rsid w:val="00806EFB"/>
    <w:rsid w:val="008072D4"/>
    <w:rsid w:val="00807B8A"/>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1846"/>
    <w:rsid w:val="0082186E"/>
    <w:rsid w:val="00822940"/>
    <w:rsid w:val="00822B12"/>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5056D"/>
    <w:rsid w:val="00850995"/>
    <w:rsid w:val="00851E59"/>
    <w:rsid w:val="00852C94"/>
    <w:rsid w:val="00853CC3"/>
    <w:rsid w:val="00853E73"/>
    <w:rsid w:val="0085491C"/>
    <w:rsid w:val="00856AF4"/>
    <w:rsid w:val="00857452"/>
    <w:rsid w:val="008576CB"/>
    <w:rsid w:val="00862F78"/>
    <w:rsid w:val="0086352B"/>
    <w:rsid w:val="00865D3C"/>
    <w:rsid w:val="0086773A"/>
    <w:rsid w:val="00867C2B"/>
    <w:rsid w:val="00870738"/>
    <w:rsid w:val="0087167F"/>
    <w:rsid w:val="00872A8C"/>
    <w:rsid w:val="0087352E"/>
    <w:rsid w:val="008748B6"/>
    <w:rsid w:val="00877127"/>
    <w:rsid w:val="008800C6"/>
    <w:rsid w:val="00882176"/>
    <w:rsid w:val="00882448"/>
    <w:rsid w:val="008826C1"/>
    <w:rsid w:val="008830C3"/>
    <w:rsid w:val="0088316E"/>
    <w:rsid w:val="00885C63"/>
    <w:rsid w:val="008871FA"/>
    <w:rsid w:val="00890BBF"/>
    <w:rsid w:val="00896545"/>
    <w:rsid w:val="0089664A"/>
    <w:rsid w:val="00896E0B"/>
    <w:rsid w:val="00896E4D"/>
    <w:rsid w:val="00896EFC"/>
    <w:rsid w:val="00897260"/>
    <w:rsid w:val="00897C36"/>
    <w:rsid w:val="008A142F"/>
    <w:rsid w:val="008A1457"/>
    <w:rsid w:val="008A16AE"/>
    <w:rsid w:val="008A17B6"/>
    <w:rsid w:val="008A48A6"/>
    <w:rsid w:val="008A4B38"/>
    <w:rsid w:val="008A50F3"/>
    <w:rsid w:val="008A552B"/>
    <w:rsid w:val="008A5689"/>
    <w:rsid w:val="008A6549"/>
    <w:rsid w:val="008A7A5E"/>
    <w:rsid w:val="008B01AE"/>
    <w:rsid w:val="008B0CA7"/>
    <w:rsid w:val="008B1D66"/>
    <w:rsid w:val="008B21E2"/>
    <w:rsid w:val="008B51F5"/>
    <w:rsid w:val="008B5381"/>
    <w:rsid w:val="008B6C06"/>
    <w:rsid w:val="008C040E"/>
    <w:rsid w:val="008C06A2"/>
    <w:rsid w:val="008C121F"/>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401E"/>
    <w:rsid w:val="008F6B5C"/>
    <w:rsid w:val="008F724E"/>
    <w:rsid w:val="00900558"/>
    <w:rsid w:val="0090199E"/>
    <w:rsid w:val="00901B6C"/>
    <w:rsid w:val="009027DA"/>
    <w:rsid w:val="0090330D"/>
    <w:rsid w:val="009042BD"/>
    <w:rsid w:val="0090594F"/>
    <w:rsid w:val="0090657F"/>
    <w:rsid w:val="009066E6"/>
    <w:rsid w:val="009069B7"/>
    <w:rsid w:val="00907E74"/>
    <w:rsid w:val="00910677"/>
    <w:rsid w:val="0091083C"/>
    <w:rsid w:val="00911567"/>
    <w:rsid w:val="00911B1B"/>
    <w:rsid w:val="00912797"/>
    <w:rsid w:val="009131D1"/>
    <w:rsid w:val="009137E8"/>
    <w:rsid w:val="00913AF0"/>
    <w:rsid w:val="009144DE"/>
    <w:rsid w:val="00914C52"/>
    <w:rsid w:val="009150F5"/>
    <w:rsid w:val="009154C9"/>
    <w:rsid w:val="0091587B"/>
    <w:rsid w:val="00915974"/>
    <w:rsid w:val="0091651A"/>
    <w:rsid w:val="009169CF"/>
    <w:rsid w:val="00916C88"/>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2C59"/>
    <w:rsid w:val="00933717"/>
    <w:rsid w:val="00934941"/>
    <w:rsid w:val="009350DC"/>
    <w:rsid w:val="009355A4"/>
    <w:rsid w:val="00937312"/>
    <w:rsid w:val="00937641"/>
    <w:rsid w:val="0094009F"/>
    <w:rsid w:val="00940869"/>
    <w:rsid w:val="00941797"/>
    <w:rsid w:val="00942225"/>
    <w:rsid w:val="00942852"/>
    <w:rsid w:val="0094361F"/>
    <w:rsid w:val="009439BB"/>
    <w:rsid w:val="0094504D"/>
    <w:rsid w:val="009502DA"/>
    <w:rsid w:val="009546C4"/>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1FD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3288"/>
    <w:rsid w:val="009F387A"/>
    <w:rsid w:val="009F3B75"/>
    <w:rsid w:val="009F4636"/>
    <w:rsid w:val="009F656E"/>
    <w:rsid w:val="009F6752"/>
    <w:rsid w:val="009F6833"/>
    <w:rsid w:val="009F79AB"/>
    <w:rsid w:val="00A02414"/>
    <w:rsid w:val="00A03C06"/>
    <w:rsid w:val="00A04B55"/>
    <w:rsid w:val="00A07A88"/>
    <w:rsid w:val="00A07B76"/>
    <w:rsid w:val="00A07D96"/>
    <w:rsid w:val="00A10755"/>
    <w:rsid w:val="00A12D3C"/>
    <w:rsid w:val="00A12E92"/>
    <w:rsid w:val="00A131C3"/>
    <w:rsid w:val="00A13E9B"/>
    <w:rsid w:val="00A141D2"/>
    <w:rsid w:val="00A14857"/>
    <w:rsid w:val="00A16834"/>
    <w:rsid w:val="00A16F09"/>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6CD"/>
    <w:rsid w:val="00A35B78"/>
    <w:rsid w:val="00A37002"/>
    <w:rsid w:val="00A374B6"/>
    <w:rsid w:val="00A377B7"/>
    <w:rsid w:val="00A40B2F"/>
    <w:rsid w:val="00A40B75"/>
    <w:rsid w:val="00A4164E"/>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847"/>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40FE"/>
    <w:rsid w:val="00AB4552"/>
    <w:rsid w:val="00AB4BE0"/>
    <w:rsid w:val="00AB4F16"/>
    <w:rsid w:val="00AB5527"/>
    <w:rsid w:val="00AB5607"/>
    <w:rsid w:val="00AB57F5"/>
    <w:rsid w:val="00AB64C8"/>
    <w:rsid w:val="00AB6A8E"/>
    <w:rsid w:val="00AB7918"/>
    <w:rsid w:val="00AC0825"/>
    <w:rsid w:val="00AC2538"/>
    <w:rsid w:val="00AC2631"/>
    <w:rsid w:val="00AC54FD"/>
    <w:rsid w:val="00AC5CA7"/>
    <w:rsid w:val="00AC7C88"/>
    <w:rsid w:val="00AD0021"/>
    <w:rsid w:val="00AD10A0"/>
    <w:rsid w:val="00AD16BF"/>
    <w:rsid w:val="00AD24AF"/>
    <w:rsid w:val="00AD2AB5"/>
    <w:rsid w:val="00AD2B20"/>
    <w:rsid w:val="00AD3035"/>
    <w:rsid w:val="00AD3BF8"/>
    <w:rsid w:val="00AD3E14"/>
    <w:rsid w:val="00AD4615"/>
    <w:rsid w:val="00AD5BCC"/>
    <w:rsid w:val="00AD78DB"/>
    <w:rsid w:val="00AE2C5A"/>
    <w:rsid w:val="00AE2F75"/>
    <w:rsid w:val="00AE3A3E"/>
    <w:rsid w:val="00AE52DC"/>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4035"/>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16AA"/>
    <w:rsid w:val="00B239A0"/>
    <w:rsid w:val="00B24C33"/>
    <w:rsid w:val="00B274CC"/>
    <w:rsid w:val="00B27EF3"/>
    <w:rsid w:val="00B302A2"/>
    <w:rsid w:val="00B30FDC"/>
    <w:rsid w:val="00B318E5"/>
    <w:rsid w:val="00B354B4"/>
    <w:rsid w:val="00B37839"/>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637"/>
    <w:rsid w:val="00B83D73"/>
    <w:rsid w:val="00B84BD3"/>
    <w:rsid w:val="00B864D5"/>
    <w:rsid w:val="00B87B37"/>
    <w:rsid w:val="00B90A3B"/>
    <w:rsid w:val="00B90F2C"/>
    <w:rsid w:val="00B911FC"/>
    <w:rsid w:val="00B91216"/>
    <w:rsid w:val="00B92118"/>
    <w:rsid w:val="00B92BE2"/>
    <w:rsid w:val="00B93B04"/>
    <w:rsid w:val="00B941FA"/>
    <w:rsid w:val="00B94841"/>
    <w:rsid w:val="00B948EF"/>
    <w:rsid w:val="00B952EF"/>
    <w:rsid w:val="00B95898"/>
    <w:rsid w:val="00B961CF"/>
    <w:rsid w:val="00B962E6"/>
    <w:rsid w:val="00B967E3"/>
    <w:rsid w:val="00B97036"/>
    <w:rsid w:val="00B97635"/>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2CEA"/>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D7C"/>
    <w:rsid w:val="00BC3F95"/>
    <w:rsid w:val="00BC4467"/>
    <w:rsid w:val="00BC4783"/>
    <w:rsid w:val="00BC4BD6"/>
    <w:rsid w:val="00BC55A0"/>
    <w:rsid w:val="00BC5B01"/>
    <w:rsid w:val="00BC621E"/>
    <w:rsid w:val="00BC6E88"/>
    <w:rsid w:val="00BD14C9"/>
    <w:rsid w:val="00BD1712"/>
    <w:rsid w:val="00BD3EB0"/>
    <w:rsid w:val="00BD57E2"/>
    <w:rsid w:val="00BD608C"/>
    <w:rsid w:val="00BD63A1"/>
    <w:rsid w:val="00BD66EA"/>
    <w:rsid w:val="00BD7157"/>
    <w:rsid w:val="00BD732C"/>
    <w:rsid w:val="00BD749D"/>
    <w:rsid w:val="00BD7925"/>
    <w:rsid w:val="00BE0491"/>
    <w:rsid w:val="00BE063B"/>
    <w:rsid w:val="00BE0E3E"/>
    <w:rsid w:val="00BE1110"/>
    <w:rsid w:val="00BE1552"/>
    <w:rsid w:val="00BE2555"/>
    <w:rsid w:val="00BE28A2"/>
    <w:rsid w:val="00BE2BD9"/>
    <w:rsid w:val="00BE3508"/>
    <w:rsid w:val="00BE3743"/>
    <w:rsid w:val="00BE42D8"/>
    <w:rsid w:val="00BE4CD6"/>
    <w:rsid w:val="00BE61D3"/>
    <w:rsid w:val="00BE68D2"/>
    <w:rsid w:val="00BE6963"/>
    <w:rsid w:val="00BE6EEE"/>
    <w:rsid w:val="00BE7944"/>
    <w:rsid w:val="00BF102D"/>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1C5"/>
    <w:rsid w:val="00C17407"/>
    <w:rsid w:val="00C17BA2"/>
    <w:rsid w:val="00C223C9"/>
    <w:rsid w:val="00C22CE3"/>
    <w:rsid w:val="00C2354F"/>
    <w:rsid w:val="00C23994"/>
    <w:rsid w:val="00C25DBD"/>
    <w:rsid w:val="00C3280F"/>
    <w:rsid w:val="00C34FAF"/>
    <w:rsid w:val="00C376B5"/>
    <w:rsid w:val="00C4008B"/>
    <w:rsid w:val="00C4175C"/>
    <w:rsid w:val="00C4176A"/>
    <w:rsid w:val="00C426CB"/>
    <w:rsid w:val="00C43487"/>
    <w:rsid w:val="00C44439"/>
    <w:rsid w:val="00C476E4"/>
    <w:rsid w:val="00C5063C"/>
    <w:rsid w:val="00C50E9E"/>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5F95"/>
    <w:rsid w:val="00C67248"/>
    <w:rsid w:val="00C67E7A"/>
    <w:rsid w:val="00C70647"/>
    <w:rsid w:val="00C70886"/>
    <w:rsid w:val="00C71B57"/>
    <w:rsid w:val="00C71E84"/>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675C"/>
    <w:rsid w:val="00C86BFD"/>
    <w:rsid w:val="00C872A5"/>
    <w:rsid w:val="00C906C3"/>
    <w:rsid w:val="00C917D6"/>
    <w:rsid w:val="00C93D1F"/>
    <w:rsid w:val="00C9460C"/>
    <w:rsid w:val="00C950D1"/>
    <w:rsid w:val="00C96CFF"/>
    <w:rsid w:val="00CA0ADD"/>
    <w:rsid w:val="00CA1993"/>
    <w:rsid w:val="00CA3167"/>
    <w:rsid w:val="00CA3378"/>
    <w:rsid w:val="00CA3731"/>
    <w:rsid w:val="00CA4E7F"/>
    <w:rsid w:val="00CA576E"/>
    <w:rsid w:val="00CA5E00"/>
    <w:rsid w:val="00CA5E4C"/>
    <w:rsid w:val="00CA6074"/>
    <w:rsid w:val="00CA6A74"/>
    <w:rsid w:val="00CA6E90"/>
    <w:rsid w:val="00CB00D6"/>
    <w:rsid w:val="00CB0330"/>
    <w:rsid w:val="00CB1F1F"/>
    <w:rsid w:val="00CB2A66"/>
    <w:rsid w:val="00CB36E2"/>
    <w:rsid w:val="00CB3E64"/>
    <w:rsid w:val="00CB58D4"/>
    <w:rsid w:val="00CB62F5"/>
    <w:rsid w:val="00CB6D03"/>
    <w:rsid w:val="00CB76B2"/>
    <w:rsid w:val="00CB77E9"/>
    <w:rsid w:val="00CB7BFF"/>
    <w:rsid w:val="00CC39EE"/>
    <w:rsid w:val="00CC3FC7"/>
    <w:rsid w:val="00CC5B16"/>
    <w:rsid w:val="00CC7668"/>
    <w:rsid w:val="00CC79F2"/>
    <w:rsid w:val="00CC7AC9"/>
    <w:rsid w:val="00CD0528"/>
    <w:rsid w:val="00CD1C80"/>
    <w:rsid w:val="00CD2C65"/>
    <w:rsid w:val="00CD3201"/>
    <w:rsid w:val="00CD3D8D"/>
    <w:rsid w:val="00CD5224"/>
    <w:rsid w:val="00CD52E0"/>
    <w:rsid w:val="00CD570B"/>
    <w:rsid w:val="00CD5BA6"/>
    <w:rsid w:val="00CD5CEB"/>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95D"/>
    <w:rsid w:val="00D10CB1"/>
    <w:rsid w:val="00D11615"/>
    <w:rsid w:val="00D13638"/>
    <w:rsid w:val="00D14866"/>
    <w:rsid w:val="00D155EA"/>
    <w:rsid w:val="00D1589E"/>
    <w:rsid w:val="00D15B95"/>
    <w:rsid w:val="00D16E10"/>
    <w:rsid w:val="00D20FEF"/>
    <w:rsid w:val="00D2120B"/>
    <w:rsid w:val="00D216D4"/>
    <w:rsid w:val="00D2294E"/>
    <w:rsid w:val="00D23FBA"/>
    <w:rsid w:val="00D24879"/>
    <w:rsid w:val="00D25365"/>
    <w:rsid w:val="00D2599F"/>
    <w:rsid w:val="00D2660C"/>
    <w:rsid w:val="00D27872"/>
    <w:rsid w:val="00D27A82"/>
    <w:rsid w:val="00D27AE7"/>
    <w:rsid w:val="00D27FE1"/>
    <w:rsid w:val="00D3183B"/>
    <w:rsid w:val="00D34495"/>
    <w:rsid w:val="00D3485C"/>
    <w:rsid w:val="00D35152"/>
    <w:rsid w:val="00D351EA"/>
    <w:rsid w:val="00D36292"/>
    <w:rsid w:val="00D366C1"/>
    <w:rsid w:val="00D36B6E"/>
    <w:rsid w:val="00D40644"/>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08D"/>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65DF0"/>
    <w:rsid w:val="00D70094"/>
    <w:rsid w:val="00D7056A"/>
    <w:rsid w:val="00D708AD"/>
    <w:rsid w:val="00D72160"/>
    <w:rsid w:val="00D72236"/>
    <w:rsid w:val="00D72C2E"/>
    <w:rsid w:val="00D73D24"/>
    <w:rsid w:val="00D740CA"/>
    <w:rsid w:val="00D740F5"/>
    <w:rsid w:val="00D74D31"/>
    <w:rsid w:val="00D75267"/>
    <w:rsid w:val="00D75771"/>
    <w:rsid w:val="00D76394"/>
    <w:rsid w:val="00D768A6"/>
    <w:rsid w:val="00D8053D"/>
    <w:rsid w:val="00D80A63"/>
    <w:rsid w:val="00D8117B"/>
    <w:rsid w:val="00D8220A"/>
    <w:rsid w:val="00D82C4B"/>
    <w:rsid w:val="00D83180"/>
    <w:rsid w:val="00D84758"/>
    <w:rsid w:val="00D85308"/>
    <w:rsid w:val="00D85728"/>
    <w:rsid w:val="00D8588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B237B"/>
    <w:rsid w:val="00DB2625"/>
    <w:rsid w:val="00DB2D08"/>
    <w:rsid w:val="00DB2EBA"/>
    <w:rsid w:val="00DB3A38"/>
    <w:rsid w:val="00DB45F9"/>
    <w:rsid w:val="00DB4A73"/>
    <w:rsid w:val="00DB4B1B"/>
    <w:rsid w:val="00DB6671"/>
    <w:rsid w:val="00DB7AE6"/>
    <w:rsid w:val="00DC08EB"/>
    <w:rsid w:val="00DC0A6A"/>
    <w:rsid w:val="00DC452D"/>
    <w:rsid w:val="00DC4C74"/>
    <w:rsid w:val="00DC6563"/>
    <w:rsid w:val="00DD086A"/>
    <w:rsid w:val="00DD0934"/>
    <w:rsid w:val="00DD0AD9"/>
    <w:rsid w:val="00DD13ED"/>
    <w:rsid w:val="00DD2430"/>
    <w:rsid w:val="00DD3452"/>
    <w:rsid w:val="00DD3620"/>
    <w:rsid w:val="00DD430D"/>
    <w:rsid w:val="00DD555A"/>
    <w:rsid w:val="00DD57CC"/>
    <w:rsid w:val="00DD5A46"/>
    <w:rsid w:val="00DD5AD4"/>
    <w:rsid w:val="00DD6E5E"/>
    <w:rsid w:val="00DD6F3B"/>
    <w:rsid w:val="00DD7487"/>
    <w:rsid w:val="00DE00B1"/>
    <w:rsid w:val="00DE0460"/>
    <w:rsid w:val="00DE0BDD"/>
    <w:rsid w:val="00DE10AB"/>
    <w:rsid w:val="00DE2019"/>
    <w:rsid w:val="00DE3EA3"/>
    <w:rsid w:val="00DE502B"/>
    <w:rsid w:val="00DE5999"/>
    <w:rsid w:val="00DE6A1E"/>
    <w:rsid w:val="00DE6B94"/>
    <w:rsid w:val="00DE7895"/>
    <w:rsid w:val="00DF047F"/>
    <w:rsid w:val="00DF19B4"/>
    <w:rsid w:val="00DF2246"/>
    <w:rsid w:val="00DF2997"/>
    <w:rsid w:val="00DF3CD9"/>
    <w:rsid w:val="00DF44A2"/>
    <w:rsid w:val="00DF4C38"/>
    <w:rsid w:val="00DF5799"/>
    <w:rsid w:val="00DF648B"/>
    <w:rsid w:val="00DF69D8"/>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3D68"/>
    <w:rsid w:val="00E14316"/>
    <w:rsid w:val="00E15038"/>
    <w:rsid w:val="00E15C67"/>
    <w:rsid w:val="00E16369"/>
    <w:rsid w:val="00E172CB"/>
    <w:rsid w:val="00E17A52"/>
    <w:rsid w:val="00E20228"/>
    <w:rsid w:val="00E20E88"/>
    <w:rsid w:val="00E2126D"/>
    <w:rsid w:val="00E21980"/>
    <w:rsid w:val="00E21A37"/>
    <w:rsid w:val="00E23859"/>
    <w:rsid w:val="00E244AE"/>
    <w:rsid w:val="00E24D52"/>
    <w:rsid w:val="00E254A9"/>
    <w:rsid w:val="00E256A8"/>
    <w:rsid w:val="00E25D9B"/>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4346"/>
    <w:rsid w:val="00E56055"/>
    <w:rsid w:val="00E56F78"/>
    <w:rsid w:val="00E579D6"/>
    <w:rsid w:val="00E60B11"/>
    <w:rsid w:val="00E62B8D"/>
    <w:rsid w:val="00E6311C"/>
    <w:rsid w:val="00E63308"/>
    <w:rsid w:val="00E63717"/>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59"/>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06F1"/>
    <w:rsid w:val="00EA1075"/>
    <w:rsid w:val="00EA1401"/>
    <w:rsid w:val="00EA1885"/>
    <w:rsid w:val="00EA254C"/>
    <w:rsid w:val="00EA4A07"/>
    <w:rsid w:val="00EA65F1"/>
    <w:rsid w:val="00EA68F2"/>
    <w:rsid w:val="00EA6C07"/>
    <w:rsid w:val="00EA6F77"/>
    <w:rsid w:val="00EA75E5"/>
    <w:rsid w:val="00EB109B"/>
    <w:rsid w:val="00EB25F6"/>
    <w:rsid w:val="00EB2694"/>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2A70"/>
    <w:rsid w:val="00EF34CB"/>
    <w:rsid w:val="00EF3E24"/>
    <w:rsid w:val="00EF4C0C"/>
    <w:rsid w:val="00EF5509"/>
    <w:rsid w:val="00EF5876"/>
    <w:rsid w:val="00EF64E4"/>
    <w:rsid w:val="00EF71CA"/>
    <w:rsid w:val="00EF7841"/>
    <w:rsid w:val="00F0010A"/>
    <w:rsid w:val="00F0072A"/>
    <w:rsid w:val="00F0154F"/>
    <w:rsid w:val="00F0384C"/>
    <w:rsid w:val="00F038A0"/>
    <w:rsid w:val="00F053CC"/>
    <w:rsid w:val="00F05C47"/>
    <w:rsid w:val="00F0754C"/>
    <w:rsid w:val="00F07C1B"/>
    <w:rsid w:val="00F10BE9"/>
    <w:rsid w:val="00F10D4E"/>
    <w:rsid w:val="00F10D5D"/>
    <w:rsid w:val="00F11590"/>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6628"/>
    <w:rsid w:val="00F36BF3"/>
    <w:rsid w:val="00F37B00"/>
    <w:rsid w:val="00F40BB1"/>
    <w:rsid w:val="00F42C4F"/>
    <w:rsid w:val="00F42C6A"/>
    <w:rsid w:val="00F440FD"/>
    <w:rsid w:val="00F445A5"/>
    <w:rsid w:val="00F44797"/>
    <w:rsid w:val="00F44D76"/>
    <w:rsid w:val="00F4715F"/>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3AA0"/>
    <w:rsid w:val="00F74BBA"/>
    <w:rsid w:val="00F76014"/>
    <w:rsid w:val="00F77F68"/>
    <w:rsid w:val="00F808B4"/>
    <w:rsid w:val="00F80FD7"/>
    <w:rsid w:val="00F824F5"/>
    <w:rsid w:val="00F8277D"/>
    <w:rsid w:val="00F82A0C"/>
    <w:rsid w:val="00F83023"/>
    <w:rsid w:val="00F8406B"/>
    <w:rsid w:val="00F84348"/>
    <w:rsid w:val="00F84863"/>
    <w:rsid w:val="00F84CEA"/>
    <w:rsid w:val="00F84E4F"/>
    <w:rsid w:val="00F8603F"/>
    <w:rsid w:val="00F869FB"/>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1721"/>
    <w:rsid w:val="00FB23F9"/>
    <w:rsid w:val="00FB4357"/>
    <w:rsid w:val="00FB4427"/>
    <w:rsid w:val="00FB46FB"/>
    <w:rsid w:val="00FB4CB8"/>
    <w:rsid w:val="00FB6021"/>
    <w:rsid w:val="00FB672D"/>
    <w:rsid w:val="00FB775D"/>
    <w:rsid w:val="00FC1204"/>
    <w:rsid w:val="00FC1649"/>
    <w:rsid w:val="00FC1C46"/>
    <w:rsid w:val="00FC1D7D"/>
    <w:rsid w:val="00FC29B9"/>
    <w:rsid w:val="00FC2CB6"/>
    <w:rsid w:val="00FC30A9"/>
    <w:rsid w:val="00FC3FF3"/>
    <w:rsid w:val="00FC4039"/>
    <w:rsid w:val="00FC491F"/>
    <w:rsid w:val="00FC4A00"/>
    <w:rsid w:val="00FC53F5"/>
    <w:rsid w:val="00FC5D76"/>
    <w:rsid w:val="00FC6FD3"/>
    <w:rsid w:val="00FD0409"/>
    <w:rsid w:val="00FD1613"/>
    <w:rsid w:val="00FD227F"/>
    <w:rsid w:val="00FD303D"/>
    <w:rsid w:val="00FD4B58"/>
    <w:rsid w:val="00FD4BBD"/>
    <w:rsid w:val="00FD6F6C"/>
    <w:rsid w:val="00FE02D5"/>
    <w:rsid w:val="00FE17E1"/>
    <w:rsid w:val="00FE1FB0"/>
    <w:rsid w:val="00FE3B25"/>
    <w:rsid w:val="00FE3C9B"/>
    <w:rsid w:val="00FE4F67"/>
    <w:rsid w:val="00FE527B"/>
    <w:rsid w:val="00FE7159"/>
    <w:rsid w:val="00FE7D1F"/>
    <w:rsid w:val="00FF053D"/>
    <w:rsid w:val="00FF090A"/>
    <w:rsid w:val="00FF11FA"/>
    <w:rsid w:val="00FF12CB"/>
    <w:rsid w:val="00FF28DC"/>
    <w:rsid w:val="00FF415A"/>
    <w:rsid w:val="00FF50E5"/>
    <w:rsid w:val="00FF51F9"/>
    <w:rsid w:val="00FF560F"/>
    <w:rsid w:val="00FF5A3B"/>
    <w:rsid w:val="00FF61FB"/>
    <w:rsid w:val="00FF6509"/>
    <w:rsid w:val="00FF680B"/>
    <w:rsid w:val="00FF6A65"/>
    <w:rsid w:val="00FF6B07"/>
    <w:rsid w:val="00FF6CA9"/>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qFormat/>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customStyle="1" w:styleId="B1Char">
    <w:name w:val="B1 Char"/>
    <w:qFormat/>
    <w:rsid w:val="001F3887"/>
    <w:rPr>
      <w:lang w:val="en-GB"/>
    </w:rPr>
  </w:style>
  <w:style w:type="paragraph" w:styleId="Header">
    <w:name w:val="header"/>
    <w:basedOn w:val="Normal"/>
    <w:link w:val="HeaderChar"/>
    <w:uiPriority w:val="99"/>
    <w:semiHidden/>
    <w:unhideWhenUsed/>
    <w:rsid w:val="001923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236A"/>
    <w:rPr>
      <w:rFonts w:ascii="Times New Roman" w:hAnsi="Times New Roman"/>
      <w:sz w:val="20"/>
    </w:rPr>
  </w:style>
  <w:style w:type="paragraph" w:styleId="Footer">
    <w:name w:val="footer"/>
    <w:basedOn w:val="Normal"/>
    <w:link w:val="FooterChar"/>
    <w:uiPriority w:val="99"/>
    <w:semiHidden/>
    <w:unhideWhenUsed/>
    <w:rsid w:val="001923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236A"/>
    <w:rPr>
      <w:rFonts w:ascii="Times New Roman" w:hAnsi="Times New Roman"/>
      <w:sz w:val="20"/>
    </w:rPr>
  </w:style>
  <w:style w:type="character" w:styleId="UnresolvedMention">
    <w:name w:val="Unresolved Mention"/>
    <w:basedOn w:val="DefaultParagraphFont"/>
    <w:uiPriority w:val="99"/>
    <w:semiHidden/>
    <w:unhideWhenUsed/>
    <w:rsid w:val="00B976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892.zip"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9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204"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bis-e/Docs/R4-22026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5AIRPNAIUNRU-1328258698-9862</_dlc_DocId>
    <_dlc_DocIdUrl xmlns="71c5aaf6-e6ce-465b-b873-5148d2a4c105">
      <Url>https://nokia.sharepoint.com/sites/c5g/5gradio/_layouts/15/DocIdRedir.aspx?ID=5AIRPNAIUNRU-1328258698-9862</Url>
      <Description>5AIRPNAIUNRU-1328258698-9862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6.xml><?xml version="1.0" encoding="utf-8"?>
<ds:datastoreItem xmlns:ds="http://schemas.openxmlformats.org/officeDocument/2006/customXml" ds:itemID="{79D60688-FBFE-4ED1-A0F7-FEF147ED25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20</cp:revision>
  <cp:lastPrinted>2021-10-14T17:58:00Z</cp:lastPrinted>
  <dcterms:created xsi:type="dcterms:W3CDTF">2022-02-14T12:39:00Z</dcterms:created>
  <dcterms:modified xsi:type="dcterms:W3CDTF">2022-02-14T14:18:00Z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ab47ca5e-cc92-4a2d-9e9d-7d8130386504</vt:lpwstr>
  </property>
</Properties>
</file>